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drawing>
          <wp:inline>
            <wp:extent cx="609600" cy="592629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09600" cy="59262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КОНТРОЛЬ</w:t>
      </w:r>
      <w:r>
        <w:rPr>
          <w:rFonts w:ascii="Times New Roman" w:hAnsi="Times New Roman"/>
          <w:b w:val="1"/>
          <w:sz w:val="28"/>
        </w:rPr>
        <w:t>НО</w:t>
      </w:r>
      <w:r>
        <w:rPr>
          <w:rFonts w:ascii="Times New Roman" w:hAnsi="Times New Roman"/>
          <w:b w:val="1"/>
          <w:sz w:val="28"/>
        </w:rPr>
        <w:t xml:space="preserve">-СЧЕТНАЯ КОМИССИЯ 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ШАРАНГСКОГО МУНИЦИПАЛЬНОГО ОКРУГА 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НИЖЕГОРОДСКОЙ ОБЛАСТИ 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ЗАКЛЮЧЕНИЕ 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 годовой отчет об исполнении бюджета Шарангского муниципального округа Нижегородской области за 2025 год 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24 апреля 2026 г.                                                                                                  № 12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Общие положения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Контрольно-счетной комиссии Шарангского муниципального округа Нижегородской области на годовой отчет об исполнении бюджета Шарангского муниципального округа Нижегородской области подготовлено в соответствии с требованиями Бюджетного кодекса Российской Федерации, на основании главы 7 статьи 38 Положения о бюджетном процессе в Шарангском муниципальном округе Нижегородской области, утвержденного решением Совета депутатов Шарангского муниципального округа Нижегородской области от 27.10.2022 г. №25, Положения о Контрольно-счетной комиссии Шарангского муниципального округа Нижегородской области, утвержденного решением Совета депутатов Шарангского муниципального округа Нижегородской области от 26.12.2023 г. №86, пункта 1.2 Плана работы Контрольно-счетной комиссии Шарангского муниципального округа Нижегородской области на 2026 год, утвержденного распоряжением Контрольно-счетной комиссии Шарангского муниципального округа Нижегородской области от 26.12.2025 г. №19, на</w:t>
      </w:r>
      <w:r>
        <w:rPr>
          <w:rFonts w:ascii="Times New Roman" w:hAnsi="Times New Roman"/>
          <w:sz w:val="28"/>
        </w:rPr>
        <w:t xml:space="preserve"> основании результатов внешней проверки отчета об исполнении бюджета муниципального округа за 2025 год, бюджетной отчетности главных администраторов средств бюджета муниципального округа.</w:t>
      </w:r>
    </w:p>
    <w:p w14:paraId="0F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Годовой отчет об исполнении бюджета Шарангского муниципального округа Нижегородской области за 2025 год представлен</w:t>
      </w:r>
      <w:r>
        <w:rPr>
          <w:rFonts w:ascii="Times New Roman" w:hAnsi="Times New Roman"/>
          <w:i w:val="0"/>
          <w:color w:val="000000"/>
          <w:sz w:val="28"/>
        </w:rPr>
        <w:t xml:space="preserve"> в Контрольно-счетную комиссию Шарангского муниципального округа</w:t>
      </w:r>
      <w:r>
        <w:rPr>
          <w:rFonts w:ascii="Times New Roman" w:hAnsi="Times New Roman"/>
          <w:i w:val="0"/>
          <w:sz w:val="28"/>
        </w:rPr>
        <w:t xml:space="preserve"> Нижегородской области 30.03.2026г.</w:t>
      </w:r>
      <w:r>
        <w:rPr>
          <w:rFonts w:ascii="Times New Roman" w:hAnsi="Times New Roman"/>
          <w:i w:val="0"/>
          <w:sz w:val="28"/>
        </w:rPr>
        <w:t>, что соответствует сроку, установленному Бюджетн</w:t>
      </w:r>
      <w:r>
        <w:rPr>
          <w:rFonts w:ascii="Times New Roman" w:hAnsi="Times New Roman"/>
          <w:sz w:val="28"/>
        </w:rPr>
        <w:t>ым кодексом Российской Федерации и статье 38 Положения о бюджетном процессе в Шарангском муниципальном округе Нижегородской области.</w:t>
      </w:r>
    </w:p>
    <w:p w14:paraId="10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и состав показателей годового отчета соответствует требованиям статьи 264.1 Бюджетного кодекса Российской Федерации,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         28 декабря 2010 года №191н (далее - Инструкция №191н).</w:t>
      </w:r>
    </w:p>
    <w:p w14:paraId="11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3000000">
      <w:pPr>
        <w:numPr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параметры бюджета муниципального округа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5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Первоначально основные характеристики бюджета Шарангского муниципального округа на 2025 год утверждены по доходам в сумме 1 015 738,0 тыс. рублей, по расходам 1 015 738,0</w:t>
      </w:r>
      <w:r>
        <w:rPr>
          <w:rFonts w:ascii="Times New Roman" w:hAnsi="Times New Roman"/>
          <w:b w:val="0"/>
          <w:sz w:val="28"/>
        </w:rPr>
        <w:t xml:space="preserve"> тыс.рублей. Прогнозируемый размер дефицита бюджета – 0,0 тыс. рублей (решение Совета депутатов Шарангского муниципального округа Нижегородской области от 24.12.2024 г. №89 «О бюджете Шарангского муниципального округа на 2025 год и на плановый период 2026 и 2027 годов» (далее – решение о бюджете)).</w:t>
      </w:r>
    </w:p>
    <w:p w14:paraId="16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течение отчетного периода в решение о бюджете 10 раз вносились изменения, утвержденные решениями Совета депутатов Шарангского муниципального округа Нижегородской области (</w:t>
      </w:r>
      <w:r>
        <w:rPr>
          <w:rFonts w:ascii="Times New Roman" w:hAnsi="Times New Roman"/>
          <w:sz w:val="28"/>
        </w:rPr>
        <w:t>от 11.02.2025 №13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sz w:val="28"/>
        </w:rPr>
        <w:t>от 25</w:t>
      </w:r>
      <w:r>
        <w:rPr>
          <w:rFonts w:ascii="Times New Roman" w:hAnsi="Times New Roman"/>
          <w:sz w:val="28"/>
        </w:rPr>
        <w:t>.03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2025 №28; от 29.04.2025 №34; от 27.05.2025 №50; от 25.06.2025 №55; от 22.07.2025 №62; от 23.09.2025 №72; от 28.10.2025 №75; от 12.11.2025 №92</w:t>
      </w:r>
      <w:r>
        <w:rPr>
          <w:rFonts w:ascii="Times New Roman" w:hAnsi="Times New Roman"/>
          <w:b w:val="0"/>
          <w:sz w:val="28"/>
        </w:rPr>
        <w:t>; от 23.12.2025 №103), а также в соответствии со статьей 217 Бюджетного кодекса Российской Федерации производились уточнения плановых бюджетных назначений путем внесения изменений в сводную бюджетную роспись муниципального образования.</w:t>
      </w:r>
    </w:p>
    <w:p w14:paraId="17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Формирование плановых бюджетных назначений основных параметров бюджета муниципального округа на 2025 год отражены в таблице 1:</w:t>
      </w:r>
    </w:p>
    <w:p w14:paraId="18000000">
      <w:pPr>
        <w:spacing w:after="0" w:line="240" w:lineRule="auto"/>
        <w:ind w:firstLine="567" w:left="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Таблица 1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334"/>
        <w:gridCol w:w="1446"/>
        <w:gridCol w:w="1482"/>
        <w:gridCol w:w="1662"/>
      </w:tblGrid>
      <w:tr>
        <w:trPr>
          <w:trHeight w:hRule="atLeast" w:val="36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9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A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Доходы, тыс. рублей</w:t>
            </w:r>
          </w:p>
        </w:tc>
        <w:tc>
          <w:tcPr>
            <w:tcW w:type="dxa" w:w="14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B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Расходы, тыс. рублей</w:t>
            </w:r>
          </w:p>
        </w:tc>
        <w:tc>
          <w:tcPr>
            <w:tcW w:type="dxa" w:w="1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C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Дефицит (-)/ Профицит (+)</w:t>
            </w:r>
          </w:p>
        </w:tc>
      </w:tr>
      <w:tr>
        <w:trPr>
          <w:trHeight w:hRule="atLeast" w:val="36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D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Решение от 24.12.2024г. №89</w:t>
            </w:r>
          </w:p>
        </w:tc>
        <w:tc>
          <w:tcPr>
            <w:tcW w:type="dxa" w:w="1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E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1 015 738,0</w:t>
            </w:r>
          </w:p>
        </w:tc>
        <w:tc>
          <w:tcPr>
            <w:tcW w:type="dxa" w:w="14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F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1 015 738,0</w:t>
            </w:r>
          </w:p>
        </w:tc>
        <w:tc>
          <w:tcPr>
            <w:tcW w:type="dxa" w:w="1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0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изменения, внесенные в решение о бюджете в течение отчетного года, из них:</w:t>
            </w:r>
          </w:p>
        </w:tc>
        <w:tc>
          <w:tcPr>
            <w:tcW w:type="dxa" w:w="1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2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+277 269,0</w:t>
            </w:r>
          </w:p>
        </w:tc>
        <w:tc>
          <w:tcPr>
            <w:tcW w:type="dxa" w:w="14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3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+291 636,8</w:t>
            </w:r>
          </w:p>
        </w:tc>
        <w:tc>
          <w:tcPr>
            <w:tcW w:type="dxa" w:w="1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4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>
        <w:trPr>
          <w:trHeight w:hRule="atLeast" w:val="36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-за счет безвозмездных поступлений</w:t>
            </w:r>
          </w:p>
        </w:tc>
        <w:tc>
          <w:tcPr>
            <w:tcW w:type="dxa" w:w="1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6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+280 374,2</w:t>
            </w:r>
          </w:p>
        </w:tc>
        <w:tc>
          <w:tcPr>
            <w:tcW w:type="dxa" w:w="14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7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type="dxa" w:w="1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8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>
        <w:trPr>
          <w:trHeight w:hRule="atLeast" w:val="36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-за счет налоговых и неналоговых доходов</w:t>
            </w:r>
          </w:p>
        </w:tc>
        <w:tc>
          <w:tcPr>
            <w:tcW w:type="dxa" w:w="1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A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-3 105,2</w:t>
            </w:r>
          </w:p>
        </w:tc>
        <w:tc>
          <w:tcPr>
            <w:tcW w:type="dxa" w:w="14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B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type="dxa" w:w="1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C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>
        <w:trPr>
          <w:trHeight w:hRule="atLeast" w:val="36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D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Решение с учетом изменений (редакция от 23.12.2025г. №103)</w:t>
            </w:r>
          </w:p>
        </w:tc>
        <w:tc>
          <w:tcPr>
            <w:tcW w:type="dxa" w:w="1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E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1 293 007,0</w:t>
            </w:r>
          </w:p>
        </w:tc>
        <w:tc>
          <w:tcPr>
            <w:tcW w:type="dxa" w:w="14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F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1 307 374,8</w:t>
            </w:r>
          </w:p>
        </w:tc>
        <w:tc>
          <w:tcPr>
            <w:tcW w:type="dxa" w:w="1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30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-14 367,8</w:t>
            </w:r>
          </w:p>
        </w:tc>
      </w:tr>
      <w:tr>
        <w:trPr>
          <w:trHeight w:hRule="atLeast" w:val="36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кроме того:</w:t>
            </w:r>
          </w:p>
        </w:tc>
        <w:tc>
          <w:tcPr>
            <w:tcW w:type="dxa" w:w="1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32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33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34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-уточнение доходов на основании уведомлений по расчетам между бюджетами</w:t>
            </w:r>
          </w:p>
        </w:tc>
        <w:tc>
          <w:tcPr>
            <w:tcW w:type="dxa" w:w="1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36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-9 388,6</w:t>
            </w:r>
          </w:p>
        </w:tc>
        <w:tc>
          <w:tcPr>
            <w:tcW w:type="dxa" w:w="14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37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type="dxa" w:w="1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38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>
        <w:trPr>
          <w:trHeight w:hRule="atLeast" w:val="36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3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-уточнение бюджетного плана на основании внесения изменений в бюджетную роспись</w:t>
            </w:r>
          </w:p>
        </w:tc>
        <w:tc>
          <w:tcPr>
            <w:tcW w:type="dxa" w:w="1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3A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type="dxa" w:w="14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3B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-9 388,6</w:t>
            </w:r>
          </w:p>
        </w:tc>
        <w:tc>
          <w:tcPr>
            <w:tcW w:type="dxa" w:w="1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3C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>
        <w:trPr>
          <w:trHeight w:hRule="atLeast" w:val="36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3D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Уточненный план на 01.01.2026г.</w:t>
            </w:r>
          </w:p>
        </w:tc>
        <w:tc>
          <w:tcPr>
            <w:tcW w:type="dxa" w:w="1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3E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1 283 618,</w:t>
            </w: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14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3F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1 297 986,2</w:t>
            </w:r>
          </w:p>
        </w:tc>
        <w:tc>
          <w:tcPr>
            <w:tcW w:type="dxa" w:w="1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40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-14 397,8</w:t>
            </w:r>
          </w:p>
        </w:tc>
      </w:tr>
    </w:tbl>
    <w:p w14:paraId="41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4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изменений плановый объем доходов увеличился на сумму           267 880,4</w:t>
      </w:r>
      <w:r>
        <w:rPr>
          <w:rFonts w:ascii="Times New Roman" w:hAnsi="Times New Roman"/>
          <w:sz w:val="28"/>
        </w:rPr>
        <w:t xml:space="preserve"> тыс. рублей (на 126,4%), плановые значения по расходам увеличились на сумму 282 248,2 тыс. рублей (на 127,8%).</w:t>
      </w:r>
    </w:p>
    <w:p w14:paraId="4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пунктом 3 статьи 217 Бюджетного кодекса РФ отклонения в сумме «минус» 9 388,6 тыс.рублей</w:t>
      </w:r>
      <w:r>
        <w:rPr>
          <w:rFonts w:ascii="Times New Roman" w:hAnsi="Times New Roman"/>
          <w:sz w:val="28"/>
        </w:rPr>
        <w:t xml:space="preserve"> допустимы и обоснованы:</w:t>
      </w:r>
    </w:p>
    <w:p w14:paraId="4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-за сч</w:t>
      </w:r>
      <w:r>
        <w:rPr>
          <w:rFonts w:ascii="Times New Roman" w:hAnsi="Times New Roman"/>
          <w:sz w:val="28"/>
        </w:rPr>
        <w:t>ет с</w:t>
      </w:r>
      <w:r>
        <w:rPr>
          <w:rFonts w:ascii="Times New Roman" w:hAnsi="Times New Roman"/>
          <w:color w:val="000000"/>
          <w:sz w:val="28"/>
        </w:rPr>
        <w:t>убсидии бюджетам на софинансирование капитальных вложений в объекты муниципальной собственности</w:t>
      </w:r>
      <w:r>
        <w:rPr>
          <w:rFonts w:ascii="Times New Roman" w:hAnsi="Times New Roman"/>
          <w:sz w:val="28"/>
        </w:rPr>
        <w:t xml:space="preserve"> в сумме «минус» 8 239,0 тыс. рублей;</w:t>
      </w:r>
    </w:p>
    <w:p w14:paraId="45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-за счет прочих субсидий </w:t>
      </w:r>
      <w:r>
        <w:rPr>
          <w:rFonts w:ascii="Times New Roman" w:hAnsi="Times New Roman"/>
          <w:sz w:val="28"/>
        </w:rPr>
        <w:t>в сумме «минус» 1 549,6</w:t>
      </w:r>
      <w:r>
        <w:rPr>
          <w:rFonts w:ascii="Times New Roman" w:hAnsi="Times New Roman"/>
          <w:sz w:val="28"/>
        </w:rPr>
        <w:t xml:space="preserve"> тыс. рублей;</w:t>
      </w:r>
    </w:p>
    <w:p w14:paraId="46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-за с</w:t>
      </w:r>
      <w:r>
        <w:rPr>
          <w:rFonts w:ascii="Times New Roman" w:hAnsi="Times New Roman"/>
          <w:sz w:val="28"/>
        </w:rPr>
        <w:t>чет п</w:t>
      </w:r>
      <w:r>
        <w:rPr>
          <w:rFonts w:ascii="Times New Roman" w:hAnsi="Times New Roman"/>
          <w:color w:val="000000"/>
          <w:sz w:val="28"/>
        </w:rPr>
        <w:t>рочих межбюджетных трансфертов, передаваемых бюджетам муниципальных округов в сумме «плюс» 400,0 тыс. рублей.</w:t>
      </w:r>
    </w:p>
    <w:p w14:paraId="47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Показатели исполнения основных параметров бюджета 2025 года представлены в таблице 2: </w:t>
      </w:r>
    </w:p>
    <w:p w14:paraId="48000000">
      <w:pPr>
        <w:spacing w:after="0" w:line="240" w:lineRule="auto"/>
        <w:ind w:firstLine="567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2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545"/>
        <w:gridCol w:w="1606"/>
        <w:gridCol w:w="1418"/>
        <w:gridCol w:w="1392"/>
        <w:gridCol w:w="1399"/>
        <w:gridCol w:w="1565"/>
      </w:tblGrid>
      <w:tr>
        <w:trPr>
          <w:trHeight w:hRule="atLeast" w:val="360"/>
        </w:trPr>
        <w:tc>
          <w:tcPr>
            <w:tcW w:type="dxa" w:w="254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49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Показатели</w:t>
            </w:r>
          </w:p>
        </w:tc>
        <w:tc>
          <w:tcPr>
            <w:tcW w:type="dxa" w:w="160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4A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Уточненный годовой план на 2025 год, тыс.рублей</w:t>
            </w:r>
          </w:p>
        </w:tc>
        <w:tc>
          <w:tcPr>
            <w:tcW w:type="dxa" w:w="281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4B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Исполнение 2025 год</w:t>
            </w:r>
          </w:p>
        </w:tc>
        <w:tc>
          <w:tcPr>
            <w:tcW w:type="dxa" w:w="29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4C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Исполнение к 2024 году</w:t>
            </w:r>
          </w:p>
        </w:tc>
      </w:tr>
      <w:tr>
        <w:trPr>
          <w:trHeight w:hRule="atLeast" w:val="360"/>
        </w:trPr>
        <w:tc>
          <w:tcPr>
            <w:tcW w:type="dxa" w:w="254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160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4D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факт исполнение, тыс. рублей</w:t>
            </w:r>
          </w:p>
        </w:tc>
        <w:tc>
          <w:tcPr>
            <w:tcW w:type="dxa" w:w="13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4E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 от уточненного годового плана</w:t>
            </w:r>
          </w:p>
        </w:tc>
        <w:tc>
          <w:tcPr>
            <w:tcW w:type="dxa" w:w="1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4F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отклонение, тыс.рублей</w:t>
            </w:r>
          </w:p>
        </w:tc>
        <w:tc>
          <w:tcPr>
            <w:tcW w:type="dxa" w:w="1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50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 к кассовому исполнению</w:t>
            </w:r>
          </w:p>
        </w:tc>
      </w:tr>
      <w:tr>
        <w:trPr>
          <w:trHeight w:hRule="atLeast" w:val="360"/>
        </w:trPr>
        <w:tc>
          <w:tcPr>
            <w:tcW w:type="dxa" w:w="2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51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Доходы</w:t>
            </w:r>
          </w:p>
        </w:tc>
        <w:tc>
          <w:tcPr>
            <w:tcW w:type="dxa" w:w="1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52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1 283 618,4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53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1 209 841,8</w:t>
            </w:r>
          </w:p>
        </w:tc>
        <w:tc>
          <w:tcPr>
            <w:tcW w:type="dxa" w:w="13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54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94,3</w:t>
            </w:r>
          </w:p>
        </w:tc>
        <w:tc>
          <w:tcPr>
            <w:tcW w:type="dxa" w:w="1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55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+160 221,1</w:t>
            </w:r>
          </w:p>
        </w:tc>
        <w:tc>
          <w:tcPr>
            <w:tcW w:type="dxa" w:w="1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56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115,3</w:t>
            </w:r>
          </w:p>
        </w:tc>
      </w:tr>
      <w:tr>
        <w:trPr>
          <w:trHeight w:hRule="atLeast" w:val="360"/>
        </w:trPr>
        <w:tc>
          <w:tcPr>
            <w:tcW w:type="dxa" w:w="2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57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Расходы</w:t>
            </w:r>
          </w:p>
        </w:tc>
        <w:tc>
          <w:tcPr>
            <w:tcW w:type="dxa" w:w="1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58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1 297 986,2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59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1 225 987,5</w:t>
            </w:r>
          </w:p>
        </w:tc>
        <w:tc>
          <w:tcPr>
            <w:tcW w:type="dxa" w:w="13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5A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94,5</w:t>
            </w:r>
          </w:p>
        </w:tc>
        <w:tc>
          <w:tcPr>
            <w:tcW w:type="dxa" w:w="1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5B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+151 236,4</w:t>
            </w:r>
          </w:p>
        </w:tc>
        <w:tc>
          <w:tcPr>
            <w:tcW w:type="dxa" w:w="1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5C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114,1</w:t>
            </w:r>
          </w:p>
        </w:tc>
      </w:tr>
      <w:tr>
        <w:trPr>
          <w:trHeight w:hRule="atLeast" w:val="360"/>
        </w:trPr>
        <w:tc>
          <w:tcPr>
            <w:tcW w:type="dxa" w:w="2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5D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Дефицит/Профицит</w:t>
            </w:r>
          </w:p>
        </w:tc>
        <w:tc>
          <w:tcPr>
            <w:tcW w:type="dxa" w:w="1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5E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-14 367,8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5F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-16 145,7</w:t>
            </w:r>
          </w:p>
        </w:tc>
        <w:tc>
          <w:tcPr>
            <w:tcW w:type="dxa" w:w="13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60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type="dxa" w:w="1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61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+8 984,7</w:t>
            </w:r>
          </w:p>
        </w:tc>
        <w:tc>
          <w:tcPr>
            <w:tcW w:type="dxa" w:w="1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62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x</w:t>
            </w:r>
          </w:p>
        </w:tc>
      </w:tr>
    </w:tbl>
    <w:p w14:paraId="63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</w:p>
    <w:p w14:paraId="64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отчетным данным фактическое поступление доходов составило          1 209 841,8 тыс. рублей или 94,3% от уточненного годового плана, кассовые расходы произведены на сумму 1 225 987,5 тыс.рублей или 94,5% соответственно.</w:t>
      </w:r>
    </w:p>
    <w:p w14:paraId="65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запланированном решением о бюджете муниципального округа на 2025 год дефиците (-) 14 367,8 тыс. рублей, бюджет исполнен с дефицитом в сумме           (-) 16 145,7 тыс. рублей.</w:t>
      </w:r>
    </w:p>
    <w:p w14:paraId="66000000">
      <w:pPr>
        <w:pStyle w:val="Style_3"/>
        <w:spacing w:line="240" w:lineRule="auto"/>
        <w:ind w:firstLine="0" w:left="567"/>
        <w:jc w:val="both"/>
        <w:rPr>
          <w:rFonts w:ascii="Times New Roman" w:hAnsi="Times New Roman"/>
          <w:sz w:val="28"/>
        </w:rPr>
      </w:pPr>
    </w:p>
    <w:p w14:paraId="67000000">
      <w:pPr>
        <w:pStyle w:val="Style_3"/>
        <w:numPr>
          <w:numId w:val="1"/>
        </w:num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Доходы бюджета муниципального округа</w:t>
      </w:r>
    </w:p>
    <w:p w14:paraId="68000000">
      <w:pPr>
        <w:pStyle w:val="Style_3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69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отчетном году первоначальный план по доходам муниципального округа  (1 015 738,0 тыс. рублей) уточнялся:</w:t>
      </w:r>
    </w:p>
    <w:p w14:paraId="6A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-за счет дополнительного объема «собственных» (налоговых и неналоговых) доходов («минус» 3 105,2 тыс.рублей);</w:t>
      </w:r>
    </w:p>
    <w:p w14:paraId="6B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-за счет дополнительного объема безвозмездных поступлений («плюс»             280 374,2 тыс. рублей).</w:t>
      </w:r>
    </w:p>
    <w:p w14:paraId="6C000000">
      <w:pPr>
        <w:pStyle w:val="Style_3"/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Анализ исполнения доходов 2025 года по сравнению с исполнением доходов в 2024 году приведен в таблице 3</w:t>
      </w:r>
      <w:r>
        <w:rPr>
          <w:rFonts w:ascii="Times New Roman" w:hAnsi="Times New Roman"/>
          <w:b w:val="0"/>
          <w:sz w:val="28"/>
        </w:rPr>
        <w:t>:</w:t>
      </w:r>
    </w:p>
    <w:p w14:paraId="6D000000">
      <w:pPr>
        <w:pStyle w:val="Style_3"/>
        <w:spacing w:after="0" w:line="240" w:lineRule="auto"/>
        <w:ind w:firstLine="567" w:left="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Таблица 3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22"/>
        <w:gridCol w:w="2266"/>
        <w:gridCol w:w="1608"/>
        <w:gridCol w:w="1512"/>
        <w:gridCol w:w="1416"/>
      </w:tblGrid>
      <w:tr>
        <w:trPr>
          <w:trHeight w:hRule="atLeast" w:val="544"/>
        </w:trPr>
        <w:tc>
          <w:tcPr>
            <w:tcW w:type="dxa" w:w="31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всего доходов</w:t>
            </w:r>
          </w:p>
        </w:tc>
        <w:tc>
          <w:tcPr>
            <w:tcW w:type="dxa" w:w="226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2025 год</w:t>
            </w:r>
          </w:p>
        </w:tc>
        <w:tc>
          <w:tcPr>
            <w:tcW w:type="dxa" w:w="160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2024 год</w:t>
            </w:r>
          </w:p>
        </w:tc>
        <w:tc>
          <w:tcPr>
            <w:tcW w:type="dxa" w:w="292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отклонение</w:t>
            </w:r>
          </w:p>
          <w:p w14:paraId="7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2"/>
              </w:rPr>
              <w:t>20</w:t>
            </w:r>
            <w:r>
              <w:rPr>
                <w:rFonts w:ascii="Times New Roman" w:hAnsi="Times New Roman"/>
                <w:color w:val="000000"/>
                <w:sz w:val="22"/>
              </w:rPr>
              <w:t>24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году</w:t>
            </w:r>
          </w:p>
        </w:tc>
      </w:tr>
      <w:tr>
        <w:tc>
          <w:tcPr>
            <w:tcW w:type="dxa" w:w="31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0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тыс. рублей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%</w:t>
            </w:r>
          </w:p>
        </w:tc>
      </w:tr>
      <w:tr>
        <w:tc>
          <w:tcPr>
            <w:tcW w:type="dxa" w:w="3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Уточненный годовой план</w:t>
            </w:r>
          </w:p>
          <w:p w14:paraId="7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22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1 283 618,4</w:t>
            </w:r>
          </w:p>
        </w:tc>
        <w:tc>
          <w:tcPr>
            <w:tcW w:type="dxa" w:w="1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1 045 582,0</w:t>
            </w:r>
          </w:p>
        </w:tc>
        <w:tc>
          <w:tcPr>
            <w:tcW w:type="dxa" w:w="15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+238 036,4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22,8</w:t>
            </w:r>
          </w:p>
        </w:tc>
      </w:tr>
      <w:tr>
        <w:tc>
          <w:tcPr>
            <w:tcW w:type="dxa" w:w="3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Кассовое исполнение</w:t>
            </w:r>
          </w:p>
          <w:p w14:paraId="7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22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1 209 841,8</w:t>
            </w:r>
          </w:p>
        </w:tc>
        <w:tc>
          <w:tcPr>
            <w:tcW w:type="dxa" w:w="1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1 049 620,7</w:t>
            </w:r>
          </w:p>
        </w:tc>
        <w:tc>
          <w:tcPr>
            <w:tcW w:type="dxa" w:w="15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+160 221,1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15,3</w:t>
            </w:r>
          </w:p>
        </w:tc>
      </w:tr>
    </w:tbl>
    <w:p w14:paraId="81000000">
      <w:pPr>
        <w:pStyle w:val="Style_3"/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82000000">
      <w:pPr>
        <w:pStyle w:val="Style_3"/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Динамика исполнения доходной части бюджета муниципального округа в 2025 году по сравнению с 2024 годом характеризуется следующими показателями, представленными в таблице 4:</w:t>
      </w:r>
    </w:p>
    <w:p w14:paraId="83000000">
      <w:pPr>
        <w:pStyle w:val="Style_3"/>
        <w:spacing w:after="0" w:line="240" w:lineRule="auto"/>
        <w:ind w:firstLine="567" w:left="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Таблица 4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34"/>
        <w:gridCol w:w="1524"/>
        <w:gridCol w:w="1356"/>
        <w:gridCol w:w="1247"/>
        <w:gridCol w:w="831"/>
        <w:gridCol w:w="1247"/>
        <w:gridCol w:w="885"/>
      </w:tblGrid>
      <w:tr>
        <w:trPr>
          <w:trHeight w:hRule="atLeast" w:val="490"/>
        </w:trPr>
        <w:tc>
          <w:tcPr>
            <w:tcW w:type="dxa" w:w="28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группы доходов</w:t>
            </w:r>
          </w:p>
        </w:tc>
        <w:tc>
          <w:tcPr>
            <w:tcW w:type="dxa" w:w="152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исполнение 20</w:t>
            </w:r>
            <w:r>
              <w:rPr>
                <w:rFonts w:ascii="Times New Roman" w:hAnsi="Times New Roman"/>
                <w:color w:val="000000"/>
                <w:sz w:val="22"/>
              </w:rPr>
              <w:t>24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год</w:t>
            </w:r>
          </w:p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тыс. рублей</w:t>
            </w:r>
          </w:p>
        </w:tc>
        <w:tc>
          <w:tcPr>
            <w:tcW w:type="dxa" w:w="343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исполнение 202</w:t>
            </w:r>
            <w:r>
              <w:rPr>
                <w:rFonts w:ascii="Times New Roman" w:hAnsi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год</w:t>
            </w:r>
          </w:p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тыс. рублей</w:t>
            </w:r>
          </w:p>
        </w:tc>
        <w:tc>
          <w:tcPr>
            <w:tcW w:type="dxa" w:w="213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отклонение</w:t>
            </w:r>
          </w:p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2"/>
              </w:rPr>
              <w:t>20</w:t>
            </w:r>
            <w:r>
              <w:rPr>
                <w:rFonts w:ascii="Times New Roman" w:hAnsi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году</w:t>
            </w:r>
          </w:p>
        </w:tc>
      </w:tr>
      <w:tr>
        <w:tc>
          <w:tcPr>
            <w:tcW w:type="dxa" w:w="28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план</w:t>
            </w:r>
          </w:p>
        </w:tc>
        <w:tc>
          <w:tcPr>
            <w:tcW w:type="dxa" w:w="1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факт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%  </w:t>
            </w:r>
          </w:p>
        </w:tc>
        <w:tc>
          <w:tcPr>
            <w:tcW w:type="dxa" w:w="1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тыс. рублей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%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Налоговые и неналоговые доходы</w:t>
            </w:r>
          </w:p>
        </w:tc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208 538,1</w:t>
            </w:r>
          </w:p>
        </w:tc>
        <w:tc>
          <w:tcPr>
            <w:tcW w:type="dxa" w:w="1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238 384,6</w:t>
            </w:r>
          </w:p>
        </w:tc>
        <w:tc>
          <w:tcPr>
            <w:tcW w:type="dxa" w:w="1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238 484,0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type="dxa" w:w="1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+29 945,9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14,4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Безвозмездные поступления</w:t>
            </w:r>
          </w:p>
        </w:tc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841 082,6</w:t>
            </w:r>
          </w:p>
        </w:tc>
        <w:tc>
          <w:tcPr>
            <w:tcW w:type="dxa" w:w="1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1 045 233,8</w:t>
            </w:r>
          </w:p>
        </w:tc>
        <w:tc>
          <w:tcPr>
            <w:tcW w:type="dxa" w:w="1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971 357,8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92,9</w:t>
            </w:r>
          </w:p>
        </w:tc>
        <w:tc>
          <w:tcPr>
            <w:tcW w:type="dxa" w:w="1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+130 275,2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15,5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Всего доходов</w:t>
            </w:r>
          </w:p>
        </w:tc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1 049 620,7</w:t>
            </w:r>
          </w:p>
        </w:tc>
        <w:tc>
          <w:tcPr>
            <w:tcW w:type="dxa" w:w="1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1 283 618,4</w:t>
            </w:r>
          </w:p>
        </w:tc>
        <w:tc>
          <w:tcPr>
            <w:tcW w:type="dxa" w:w="1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1 209 841,8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94,3</w:t>
            </w:r>
          </w:p>
        </w:tc>
        <w:tc>
          <w:tcPr>
            <w:tcW w:type="dxa" w:w="1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+160 221,1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15,3</w:t>
            </w:r>
          </w:p>
        </w:tc>
      </w:tr>
    </w:tbl>
    <w:p w14:paraId="A5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A6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целом уточненный план по доходам (1 283 618,4 тыс. рублей) исполнен на 94,3%, поступило 1 209 841,8 тыс.рублей, при этом по налоговым и неналоговым доходам уточненный план выполнен на 100,0% (238 484,0 тыс. рублей), по безвозмездным поступлениям на 92,9% (971 357,8 тыс. рублей).</w:t>
      </w:r>
    </w:p>
    <w:p w14:paraId="A7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 сравнению с 2024 годом, налоговые и неналоговые доходы бюджета муниципального округа в 2025 году увеличились на сумму 29 945,9 тыс.рублей или на 14,4%, безвозмездные поступления на сумму 130 275,2 тыс.рублей или на 15,5%.</w:t>
      </w:r>
    </w:p>
    <w:p w14:paraId="A8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Доля «собственных» (налоговых и неналоговых) доходов по итогам исполнения бюджета муниципального округа 2025 года составила 19,7%, доля безвозмездных поступлений - 80,3%.</w:t>
      </w:r>
    </w:p>
    <w:p w14:paraId="A9000000">
      <w:pPr>
        <w:pStyle w:val="Style_3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AA000000">
      <w:pPr>
        <w:pStyle w:val="Style_3"/>
        <w:spacing w:line="240" w:lineRule="auto"/>
        <w:ind w:firstLine="567" w:left="0"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2.1. Налоговые доходы</w:t>
      </w:r>
    </w:p>
    <w:p w14:paraId="AB000000">
      <w:pPr>
        <w:pStyle w:val="Style_3"/>
        <w:spacing w:line="240" w:lineRule="auto"/>
        <w:ind w:firstLine="567" w:left="0"/>
        <w:jc w:val="left"/>
        <w:rPr>
          <w:rFonts w:ascii="Times New Roman" w:hAnsi="Times New Roman"/>
          <w:b w:val="1"/>
          <w:sz w:val="28"/>
        </w:rPr>
      </w:pPr>
    </w:p>
    <w:p w14:paraId="AC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Первоначальный план по налоговым доходам утвержден на 2025 год в общей сумме 233 733,3 тыс.рублей, в результате внесенных изменений составил           224 460,7 тыс. рублей (96,0% от первоначального плана).</w:t>
      </w:r>
    </w:p>
    <w:p w14:paraId="AD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Информация об исполнении в отчетном периоде налоговых доходов представлена в таблице 5:</w:t>
      </w:r>
    </w:p>
    <w:p w14:paraId="AE000000">
      <w:pPr>
        <w:pStyle w:val="Style_3"/>
        <w:spacing w:after="0" w:line="240" w:lineRule="auto"/>
        <w:ind w:firstLine="567" w:left="0"/>
        <w:jc w:val="right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Таблица 5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506"/>
        <w:gridCol w:w="1306"/>
        <w:gridCol w:w="1104"/>
        <w:gridCol w:w="1152"/>
        <w:gridCol w:w="831"/>
        <w:gridCol w:w="1149"/>
        <w:gridCol w:w="876"/>
      </w:tblGrid>
      <w:tr>
        <w:trPr>
          <w:trHeight w:hRule="atLeast" w:val="436"/>
        </w:trPr>
        <w:tc>
          <w:tcPr>
            <w:tcW w:type="dxa" w:w="350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налоговые доходы</w:t>
            </w:r>
          </w:p>
        </w:tc>
        <w:tc>
          <w:tcPr>
            <w:tcW w:type="dxa" w:w="130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исполнение 20</w:t>
            </w:r>
            <w:r>
              <w:rPr>
                <w:rFonts w:ascii="Times New Roman" w:hAnsi="Times New Roman"/>
                <w:color w:val="000000"/>
                <w:sz w:val="22"/>
              </w:rPr>
              <w:t>24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год</w:t>
            </w:r>
          </w:p>
          <w:p w14:paraId="B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тыс. рублей</w:t>
            </w:r>
          </w:p>
        </w:tc>
        <w:tc>
          <w:tcPr>
            <w:tcW w:type="dxa" w:w="308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исполнение 202</w:t>
            </w:r>
            <w:r>
              <w:rPr>
                <w:rFonts w:ascii="Times New Roman" w:hAnsi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год</w:t>
            </w:r>
          </w:p>
          <w:p w14:paraId="B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тыс. рублей</w:t>
            </w:r>
          </w:p>
        </w:tc>
        <w:tc>
          <w:tcPr>
            <w:tcW w:type="dxa" w:w="202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отклонение</w:t>
            </w:r>
          </w:p>
          <w:p w14:paraId="B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2"/>
              </w:rPr>
              <w:t>20</w:t>
            </w:r>
            <w:r>
              <w:rPr>
                <w:rFonts w:ascii="Times New Roman" w:hAnsi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году</w:t>
            </w:r>
          </w:p>
        </w:tc>
      </w:tr>
      <w:tr>
        <w:tc>
          <w:tcPr>
            <w:tcW w:type="dxa" w:w="350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0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план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факт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%  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тыс. рублей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%</w:t>
            </w:r>
          </w:p>
        </w:tc>
      </w:tr>
      <w:tr>
        <w:tc>
          <w:tcPr>
            <w:tcW w:type="dxa" w:w="3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Налог на доходы физических лиц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151 916,5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171 116,5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170 924,5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99,9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+19 008,0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12,5</w:t>
            </w:r>
          </w:p>
        </w:tc>
      </w:tr>
      <w:tr>
        <w:tc>
          <w:tcPr>
            <w:tcW w:type="dxa" w:w="3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Налог на товары (работы, услуги) реализуемые на территории РФ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14 673,1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15 483,9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15 286,6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98,7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+613,5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4,2</w:t>
            </w:r>
          </w:p>
        </w:tc>
      </w:tr>
      <w:tr>
        <w:trPr>
          <w:trHeight w:hRule="atLeast" w:val="234"/>
        </w:trPr>
        <w:tc>
          <w:tcPr>
            <w:tcW w:type="dxa" w:w="3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Налоги на совокупный доход: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17 319,6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23 767,9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24 170,2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101,7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+6 850,6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39,6</w:t>
            </w:r>
          </w:p>
        </w:tc>
      </w:tr>
      <w:tr>
        <w:tc>
          <w:tcPr>
            <w:tcW w:type="dxa" w:w="3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13 639,4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18 893,0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18 862,2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99,8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+5 222,8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38,3</w:t>
            </w:r>
          </w:p>
        </w:tc>
      </w:tr>
      <w:tr>
        <w:tc>
          <w:tcPr>
            <w:tcW w:type="dxa" w:w="3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-единый налог на вмененный доход для отдельных видов деятельности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2,3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0,8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0,8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-1,5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-65,2</w:t>
            </w:r>
          </w:p>
        </w:tc>
      </w:tr>
      <w:tr>
        <w:tc>
          <w:tcPr>
            <w:tcW w:type="dxa" w:w="3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-единый сельскохозяйственный налог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1 589,0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1 426,5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1 426,5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-162,5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-10,2</w:t>
            </w:r>
          </w:p>
        </w:tc>
      </w:tr>
      <w:tr>
        <w:tc>
          <w:tcPr>
            <w:tcW w:type="dxa" w:w="3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 патентная система налогообложения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2 088,9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3 447,6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3 880,7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112,6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+1 791,8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85,8</w:t>
            </w:r>
          </w:p>
        </w:tc>
      </w:tr>
      <w:tr>
        <w:tc>
          <w:tcPr>
            <w:tcW w:type="dxa" w:w="3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Налоги на имущество: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9 395,5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10 492,4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10 424,8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99,4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+1 029,3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11,0</w:t>
            </w:r>
          </w:p>
        </w:tc>
      </w:tr>
      <w:tr>
        <w:tc>
          <w:tcPr>
            <w:tcW w:type="dxa" w:w="3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-налог на имущество физических лиц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4 039,7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4 300,0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4 215,9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98,0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+176,2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4,4</w:t>
            </w:r>
          </w:p>
        </w:tc>
      </w:tr>
      <w:tr>
        <w:tc>
          <w:tcPr>
            <w:tcW w:type="dxa" w:w="3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-земельный налог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5 355,8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6 192,4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6 208,9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100,3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+853,1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15,9</w:t>
            </w:r>
          </w:p>
        </w:tc>
      </w:tr>
      <w:tr>
        <w:tc>
          <w:tcPr>
            <w:tcW w:type="dxa" w:w="3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Государственная пошлина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1 629,7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3 600,0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3 682,6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102,3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+2 052,9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126,0</w:t>
            </w:r>
          </w:p>
        </w:tc>
      </w:tr>
      <w:tr>
        <w:tc>
          <w:tcPr>
            <w:tcW w:type="dxa" w:w="3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Всего налоговых доходов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194 934,5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224 460,7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224 488,7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+29 554,2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15,2</w:t>
            </w:r>
          </w:p>
        </w:tc>
      </w:tr>
    </w:tbl>
    <w:p w14:paraId="0F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Налоговые поступления в бюджет муниципального округа в 2025 году составили 224 488,7 тыс. рублей или 100,0% по отношению к уточненному плану.  Увеличение к уровню 2024 года составило 29 554,2 тыс.рублей или на 15,2%. </w:t>
      </w:r>
    </w:p>
    <w:p w14:paraId="10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Удельный вес налоговых доходов в общем объеме поступлений (1 209 841,8 тыс. рублей) в бюджет муниципального округа в отчетном периоде составил 18,6% и остался на уровне 2024 года.</w:t>
      </w:r>
    </w:p>
    <w:p w14:paraId="11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Поступления налоговых доходов сложились следующим образом.</w:t>
      </w:r>
    </w:p>
    <w:p w14:paraId="12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Основным источником налоговых доходов в 2025 году является</w:t>
      </w:r>
      <w:r>
        <w:rPr>
          <w:rFonts w:ascii="Times New Roman" w:hAnsi="Times New Roman"/>
          <w:b w:val="1"/>
          <w:color w:val="000000"/>
          <w:sz w:val="28"/>
        </w:rPr>
        <w:t xml:space="preserve"> налог на доходы физических лиц, </w:t>
      </w:r>
      <w:r>
        <w:rPr>
          <w:rFonts w:ascii="Times New Roman" w:hAnsi="Times New Roman"/>
          <w:b w:val="0"/>
          <w:color w:val="000000"/>
          <w:sz w:val="28"/>
        </w:rPr>
        <w:t>доля которого в налоговых доходах составила 76,1%. Налог поступил в сумме 170 924,5 тыс. рублей или 99,9% от уточненного плана (171 116,5 тыс. рублей), что на 19 008,0 тыс. рублей превысило поступления прошлого года (151 916,5 тыс. рублей).</w:t>
      </w:r>
    </w:p>
    <w:p w14:paraId="13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  <w:shd w:fill="FFD821" w:val="clear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Согласно Пояснительной записке финансового управления администрации Шарангского муниципального округа к годовому отчету об исполнении консолидированного бюджета за 2025 год увеличение поступления суммы НДФЛ в 2025 году по сравнению с 2024 годом связано с увеличением МРОТ на 16,7% (МРОТ с 01.01.2024г.-19,2 тыс.рублей, МРОТ с 01.01.2025г. – 22,4 тыс. рублей). </w:t>
      </w:r>
      <w:r>
        <w:rPr>
          <w:rFonts w:ascii="Times New Roman" w:hAnsi="Times New Roman"/>
          <w:b w:val="0"/>
          <w:color w:val="000000"/>
          <w:sz w:val="28"/>
        </w:rPr>
        <w:t xml:space="preserve">Уменьшение поступления НДФЛ с доходов индивидуальных предпринимателей в 2025 г. по сравнению с 2024 годом (факт 2024 г.-522,6 тыс. рублей, факт 2025г. – 445,7 тыс. рублей) произошло в связи с введением пятиступенчатой </w:t>
      </w:r>
      <w:r>
        <w:rPr>
          <w:rFonts w:ascii="Times New Roman" w:hAnsi="Times New Roman"/>
          <w:b w:val="0"/>
          <w:color w:val="000000"/>
          <w:sz w:val="28"/>
        </w:rPr>
        <w:t xml:space="preserve">шкалы ставок по налогу на доходы физических лиц. Уменьшение поступления суммы </w:t>
      </w:r>
      <w:r>
        <w:rPr>
          <w:rFonts w:ascii="Times New Roman" w:hAnsi="Times New Roman"/>
          <w:b w:val="0"/>
          <w:color w:val="000000"/>
          <w:sz w:val="28"/>
        </w:rPr>
        <w:t>НДФЛ в отношении доходов от долевого участия организаций, полученных в виде дивидентов (в части суммы налога, не превышающей 650,0 тыс. рублей) в 2025 году по сравнению с 2024 годом произошло в связи с уменьшением чистой прибыли по ООО АПК «Поздеево», ООО «Магистраль», ООО «Строитель».</w:t>
      </w:r>
    </w:p>
    <w:p w14:paraId="14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  <w:shd w:fill="FFD821" w:val="clear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Доходы от </w:t>
      </w:r>
      <w:r>
        <w:rPr>
          <w:rFonts w:ascii="Times New Roman" w:hAnsi="Times New Roman"/>
          <w:b w:val="1"/>
          <w:color w:val="000000"/>
          <w:sz w:val="28"/>
        </w:rPr>
        <w:t>налогов на товары (работы, услуги) реализуемые на территории РФ,</w:t>
      </w:r>
      <w:r>
        <w:rPr>
          <w:rFonts w:ascii="Times New Roman" w:hAnsi="Times New Roman"/>
          <w:b w:val="0"/>
          <w:color w:val="000000"/>
          <w:sz w:val="28"/>
        </w:rPr>
        <w:t xml:space="preserve"> доля</w:t>
      </w:r>
      <w:r>
        <w:rPr>
          <w:rFonts w:ascii="Times New Roman" w:hAnsi="Times New Roman"/>
          <w:b w:val="0"/>
          <w:color w:val="000000"/>
          <w:sz w:val="28"/>
        </w:rPr>
        <w:t xml:space="preserve"> которых в налоговых доходах составила 6,8%,</w:t>
      </w:r>
      <w:r>
        <w:rPr>
          <w:rFonts w:ascii="Times New Roman" w:hAnsi="Times New Roman"/>
          <w:b w:val="0"/>
          <w:color w:val="000000"/>
          <w:sz w:val="28"/>
        </w:rPr>
        <w:t xml:space="preserve"> поступили в сумме 1</w:t>
      </w:r>
      <w:r>
        <w:rPr>
          <w:rFonts w:ascii="Times New Roman" w:hAnsi="Times New Roman"/>
          <w:b w:val="0"/>
          <w:color w:val="000000"/>
          <w:sz w:val="28"/>
        </w:rPr>
        <w:t xml:space="preserve">5 286,6 тыс. рублей или 98,7% от уточненного плана (15 483,9 тыс. рублей). Данную группу доходов формируют поступления от уплаты акцизов на нефтепродукты. К уровню 2024 года исполнение составило 104,2%. </w:t>
      </w:r>
    </w:p>
    <w:p w14:paraId="15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Фактически уточненный план по </w:t>
      </w:r>
      <w:r>
        <w:rPr>
          <w:rFonts w:ascii="Times New Roman" w:hAnsi="Times New Roman"/>
          <w:b w:val="1"/>
          <w:color w:val="000000"/>
          <w:sz w:val="28"/>
        </w:rPr>
        <w:t>налогам на совокупный доход,</w:t>
      </w:r>
      <w:r>
        <w:rPr>
          <w:rFonts w:ascii="Times New Roman" w:hAnsi="Times New Roman"/>
          <w:b w:val="0"/>
          <w:color w:val="000000"/>
          <w:sz w:val="28"/>
        </w:rPr>
        <w:t xml:space="preserve"> доля которых в налоговых доходах составила 10,8%, </w:t>
      </w:r>
      <w:r>
        <w:rPr>
          <w:rFonts w:ascii="Times New Roman" w:hAnsi="Times New Roman"/>
          <w:b w:val="0"/>
          <w:color w:val="000000"/>
          <w:sz w:val="28"/>
        </w:rPr>
        <w:t xml:space="preserve">исполнен на 101,7%, поступило  24 170,2 тыс. рублей, что выше анализируемого показателя за 2024 год на 6 </w:t>
      </w:r>
      <w:r>
        <w:rPr>
          <w:rFonts w:ascii="Times New Roman" w:hAnsi="Times New Roman"/>
          <w:b w:val="0"/>
          <w:color w:val="000000"/>
          <w:sz w:val="28"/>
        </w:rPr>
        <w:t>850,6 тыс. рублей или на 39,6%.</w:t>
      </w:r>
    </w:p>
    <w:p w14:paraId="16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Внутри подгруппы динамика поступлений сложилась следующая:</w:t>
      </w:r>
    </w:p>
    <w:p w14:paraId="17010000">
      <w:pPr>
        <w:pStyle w:val="Style_3"/>
        <w:numPr>
          <w:numId w:val="2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1"/>
          <w:color w:val="000000"/>
          <w:sz w:val="28"/>
        </w:rPr>
        <w:t>доходы от налога, взимаемого в связи с упрощенной системой налогообложения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составили 18 862,2 тыс. рублей или 99,8% от уточненного плана (18 893,0 тыс. руб</w:t>
      </w:r>
      <w:r>
        <w:rPr>
          <w:rFonts w:ascii="Times New Roman" w:hAnsi="Times New Roman"/>
          <w:b w:val="0"/>
          <w:i w:val="0"/>
          <w:color w:val="000000"/>
          <w:sz w:val="28"/>
        </w:rPr>
        <w:t>лей).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 уровню 2024 года доходы увеличились на 5 222,8 тыс. рублей или на 38,3%</w:t>
      </w:r>
      <w:r>
        <w:rPr>
          <w:rFonts w:ascii="Times New Roman" w:hAnsi="Times New Roman"/>
          <w:b w:val="0"/>
          <w:i w:val="0"/>
          <w:color w:val="000000"/>
          <w:sz w:val="28"/>
        </w:rPr>
        <w:t>;</w:t>
      </w:r>
    </w:p>
    <w:p w14:paraId="18010000">
      <w:pPr>
        <w:pStyle w:val="Style_3"/>
        <w:numPr>
          <w:numId w:val="2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1"/>
          <w:color w:val="000000"/>
          <w:sz w:val="28"/>
        </w:rPr>
        <w:t>доходы от единого сельскохозяйственного налога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составили 1 426,5 тыс. рублей или 100,0% от уточненного плана (1 426,5 тыс. рублей). Доходы к уровню 2024 года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уменьшились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 162,5 т</w:t>
      </w:r>
      <w:r>
        <w:rPr>
          <w:rFonts w:ascii="Times New Roman" w:hAnsi="Times New Roman"/>
          <w:b w:val="0"/>
          <w:i w:val="0"/>
          <w:color w:val="000000"/>
          <w:sz w:val="28"/>
        </w:rPr>
        <w:t>ыс. рублей или на 10,2%, в результате снижения доходов сельхозпроизводителей</w:t>
      </w:r>
      <w:r>
        <w:rPr>
          <w:rFonts w:ascii="Times New Roman" w:hAnsi="Times New Roman"/>
          <w:b w:val="0"/>
          <w:i w:val="0"/>
          <w:color w:val="000000"/>
          <w:sz w:val="28"/>
        </w:rPr>
        <w:t>;</w:t>
      </w:r>
    </w:p>
    <w:p w14:paraId="19010000">
      <w:pPr>
        <w:pStyle w:val="Style_3"/>
        <w:numPr>
          <w:numId w:val="2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1"/>
          <w:color w:val="000000"/>
          <w:sz w:val="28"/>
        </w:rPr>
        <w:t xml:space="preserve"> доходы от единого налога на вмененный доход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для отдельных видов деятельности составили 0,8 тыс. рублей или 100,0% от уточненного плана. Доходы к уровню 2024 года уменьшились на 1,5 тыс.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рублей, в результате снижения количества недоимщиков;</w:t>
      </w:r>
    </w:p>
    <w:p w14:paraId="1A010000">
      <w:pPr>
        <w:pStyle w:val="Style_3"/>
        <w:numPr>
          <w:numId w:val="2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1"/>
          <w:color w:val="000000"/>
          <w:sz w:val="28"/>
        </w:rPr>
        <w:t>доходы от налога, взимаемого в связи с применением патентной системой налогообложения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составили 3 880,7 тыс.рублей или 112,6% от уточненного плана (3 447,6 тыс. рублей). К уровню 2024 года доходы увеличились на 1 791,8 тыс. рублей или на 85,8%.</w:t>
      </w:r>
    </w:p>
    <w:p w14:paraId="1B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Налоги на имущество,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доля которых в налоговых доходах составила 4,6%, </w:t>
      </w:r>
      <w:r>
        <w:rPr>
          <w:rFonts w:ascii="Times New Roman" w:hAnsi="Times New Roman"/>
          <w:b w:val="0"/>
          <w:i w:val="0"/>
          <w:color w:val="000000"/>
          <w:sz w:val="28"/>
        </w:rPr>
        <w:t>поступили в бюджет муници</w:t>
      </w:r>
      <w:r>
        <w:rPr>
          <w:rFonts w:ascii="Times New Roman" w:hAnsi="Times New Roman"/>
          <w:b w:val="0"/>
          <w:i w:val="0"/>
          <w:color w:val="000000"/>
          <w:sz w:val="28"/>
        </w:rPr>
        <w:t>пального округа в сумме 10 424,8 тыс. рублей или 99,4% от уточненного плана (10 492,4 тыс. рублей).</w:t>
      </w:r>
    </w:p>
    <w:p w14:paraId="1C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Внутри подгруппы сложились следующие поступления:</w:t>
      </w:r>
    </w:p>
    <w:p w14:paraId="1D010000">
      <w:pPr>
        <w:pStyle w:val="Style_3"/>
        <w:numPr>
          <w:numId w:val="3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1"/>
          <w:color w:val="000000"/>
          <w:sz w:val="28"/>
        </w:rPr>
        <w:t>налог на имущество физических лиц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</w:t>
      </w:r>
      <w:r>
        <w:rPr>
          <w:rFonts w:ascii="Times New Roman" w:hAnsi="Times New Roman"/>
          <w:b w:val="0"/>
          <w:i w:val="0"/>
          <w:color w:val="000000"/>
          <w:sz w:val="28"/>
        </w:rPr>
        <w:t>м</w:t>
      </w:r>
      <w:r>
        <w:rPr>
          <w:rFonts w:ascii="Times New Roman" w:hAnsi="Times New Roman"/>
          <w:b w:val="0"/>
          <w:i w:val="0"/>
          <w:color w:val="000000"/>
          <w:sz w:val="28"/>
        </w:rPr>
        <w:t>ме 4 215,9 тыс. рублей или 98,0% от уточненного плана (4 300,0 тыс. рублей). Прослеживается увеличение показателя к уровню 2024 года на 176,2 тыс. рублей или 4,4%</w:t>
      </w:r>
      <w:r>
        <w:rPr>
          <w:rFonts w:ascii="Times New Roman" w:hAnsi="Times New Roman"/>
          <w:b w:val="0"/>
          <w:i w:val="0"/>
          <w:color w:val="000000"/>
          <w:sz w:val="28"/>
        </w:rPr>
        <w:t>;</w:t>
      </w:r>
    </w:p>
    <w:p w14:paraId="1E010000">
      <w:pPr>
        <w:pStyle w:val="Style_3"/>
        <w:numPr>
          <w:numId w:val="3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1"/>
          <w:color w:val="000000"/>
          <w:sz w:val="28"/>
        </w:rPr>
        <w:t>земельный налог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сумме 6 208,9 тыс. рублей или 100,3% от уточненного плана (6 192,4 тыс. рублей). Наблюдается увеличение показателя к уровню 2024 года на 853,1 тыс. рублей или 15,9%.  </w:t>
      </w:r>
    </w:p>
    <w:p w14:paraId="1F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Государственная пошлина, </w:t>
      </w:r>
      <w:r>
        <w:rPr>
          <w:rFonts w:ascii="Times New Roman" w:hAnsi="Times New Roman"/>
          <w:b w:val="0"/>
          <w:i w:val="0"/>
          <w:color w:val="000000"/>
          <w:sz w:val="28"/>
        </w:rPr>
        <w:t>д</w:t>
      </w:r>
      <w:r>
        <w:rPr>
          <w:rFonts w:ascii="Times New Roman" w:hAnsi="Times New Roman"/>
          <w:b w:val="0"/>
          <w:i w:val="0"/>
          <w:color w:val="000000"/>
          <w:sz w:val="28"/>
        </w:rPr>
        <w:t>оля которой в налоговых доходах составила 1,6%,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 доход бюджета муниципального округа поступила в сумме 3 682,6 тыс.рублей или 102,3% от уточненного плана (3 600,0 тыс.рублей), что на 2 052,9 </w:t>
      </w:r>
      <w:r>
        <w:rPr>
          <w:rFonts w:ascii="Times New Roman" w:hAnsi="Times New Roman"/>
          <w:b w:val="0"/>
          <w:i w:val="0"/>
          <w:color w:val="000000"/>
          <w:sz w:val="28"/>
        </w:rPr>
        <w:t>тыс.рублей больше поступлений 2024 года (1 629,7 тыс. рублей).</w:t>
      </w:r>
    </w:p>
    <w:p w14:paraId="20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Недоимка по налоговым доходам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(по информации финуправления Шарангского округа) в бюджет муниципального округа по состоянию на 01 января 2026 года составила 5 450,7 тыс. рублей, что на 1 636,3 тыс. рублей больше недоимки на 01.01.2025г. (3 814,3 тыс. рублей), в том числе:</w:t>
      </w:r>
    </w:p>
    <w:p w14:paraId="21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-показатель недоимки по налогу на доходы физических лиц - 607,4 тыс. </w:t>
      </w:r>
      <w:r>
        <w:rPr>
          <w:rFonts w:ascii="Times New Roman" w:hAnsi="Times New Roman"/>
          <w:b w:val="0"/>
          <w:i w:val="0"/>
          <w:color w:val="000000"/>
          <w:sz w:val="28"/>
        </w:rPr>
        <w:t>рублей (на 01.01.2025г. -557,6 тыс. рублей);</w:t>
      </w:r>
    </w:p>
    <w:p w14:paraId="22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-показатель недоимки </w:t>
      </w:r>
      <w:r>
        <w:rPr>
          <w:rFonts w:ascii="Times New Roman" w:hAnsi="Times New Roman"/>
          <w:sz w:val="28"/>
        </w:rPr>
        <w:t xml:space="preserve">по налогу, взимаемому </w:t>
      </w:r>
      <w:r>
        <w:rPr>
          <w:rFonts w:ascii="Times New Roman" w:hAnsi="Times New Roman"/>
          <w:sz w:val="28"/>
        </w:rPr>
        <w:t>в связи с применением упрощенной системы налогообложения – 2 962,5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тыс. рублей (на 01.01.2025г.-         1 336,6 тыс. рублей);</w:t>
      </w:r>
    </w:p>
    <w:p w14:paraId="23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показатель недоимки по налогу, взимаемому в связи с применением </w:t>
      </w:r>
      <w:r>
        <w:rPr>
          <w:rFonts w:ascii="Times New Roman" w:hAnsi="Times New Roman"/>
          <w:b w:val="0"/>
          <w:i w:val="0"/>
          <w:color w:val="000000"/>
          <w:sz w:val="28"/>
        </w:rPr>
        <w:t>патентной системы налогообложения – 306,6 тыс. рублей (на 01.01.2025г. – 7,0 тыс. рублей);</w:t>
      </w:r>
    </w:p>
    <w:p w14:paraId="24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-показатель недоимки по налогу на имущество физических лиц – 749,9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тыс. рублей </w:t>
      </w:r>
      <w:r>
        <w:rPr>
          <w:rFonts w:ascii="Times New Roman" w:hAnsi="Times New Roman"/>
          <w:b w:val="0"/>
          <w:i w:val="0"/>
          <w:color w:val="000000"/>
          <w:sz w:val="28"/>
        </w:rPr>
        <w:t>(на 01.01.2025 г. -821,4 тыс. рублей);</w:t>
      </w:r>
    </w:p>
    <w:p w14:paraId="25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-показатель недоимки по земельному налогу – 824,2 тыс. рублей (на </w:t>
      </w:r>
      <w:r>
        <w:rPr>
          <w:rFonts w:ascii="Times New Roman" w:hAnsi="Times New Roman"/>
          <w:b w:val="0"/>
          <w:i w:val="0"/>
          <w:color w:val="000000"/>
          <w:sz w:val="28"/>
        </w:rPr>
        <w:t>01.01.2025г. – 1 091,8 тыс. рублей)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26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olor w:val="000000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Для увеличения объемов налоговых поступлений в бюджет муниципального округа регулярно проводятся заседания комиссии по выполнению мероприятий, направленных на повышение собираемости налоговых платежей.</w:t>
      </w:r>
    </w:p>
    <w:p w14:paraId="27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28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2.2. Неналоговые доходы</w:t>
      </w:r>
    </w:p>
    <w:p w14:paraId="29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</w:p>
    <w:p w14:paraId="2A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Первоначальный план по неналоговым доходам утвержден на 2025 год в сумме 7 756,5 тыс.рублей, в результате внесенных изменений уточненный план на конец отчетного периода составил 13 923,8 тыс.рублей (179,5% к первоначальному плану).</w:t>
      </w:r>
    </w:p>
    <w:p w14:paraId="2B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Информация об исполнении в отчетном периоде неналоговых доходов представлена в таблице 6: </w:t>
      </w:r>
    </w:p>
    <w:p w14:paraId="2C010000">
      <w:pPr>
        <w:pStyle w:val="Style_3"/>
        <w:spacing w:after="0" w:line="240" w:lineRule="auto"/>
        <w:ind w:firstLine="567" w:left="0"/>
        <w:jc w:val="right"/>
        <w:rPr>
          <w:rFonts w:ascii="Times New Roman" w:hAnsi="Times New Roman"/>
          <w:b w:val="0"/>
          <w:i w:val="0"/>
          <w:color w:val="000000"/>
          <w:sz w:val="24"/>
        </w:rPr>
      </w:pPr>
      <w:r>
        <w:rPr>
          <w:rFonts w:ascii="Times New Roman" w:hAnsi="Times New Roman"/>
          <w:b w:val="0"/>
          <w:i w:val="0"/>
          <w:color w:val="000000"/>
          <w:sz w:val="24"/>
        </w:rPr>
        <w:t>Таблица 6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94"/>
        <w:gridCol w:w="1306"/>
        <w:gridCol w:w="1104"/>
        <w:gridCol w:w="1152"/>
        <w:gridCol w:w="831"/>
        <w:gridCol w:w="1201"/>
        <w:gridCol w:w="798"/>
      </w:tblGrid>
      <w:tr>
        <w:trPr>
          <w:trHeight w:hRule="atLeast" w:val="473"/>
        </w:trPr>
        <w:tc>
          <w:tcPr>
            <w:tcW w:type="dxa" w:w="349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неналоговые доходы</w:t>
            </w:r>
          </w:p>
        </w:tc>
        <w:tc>
          <w:tcPr>
            <w:tcW w:type="dxa" w:w="130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исполнение 20</w:t>
            </w:r>
            <w:r>
              <w:rPr>
                <w:rFonts w:ascii="Times New Roman" w:hAnsi="Times New Roman"/>
                <w:color w:val="000000"/>
                <w:sz w:val="22"/>
              </w:rPr>
              <w:t>24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год</w:t>
            </w:r>
          </w:p>
          <w:p w14:paraId="2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тыс. рублей</w:t>
            </w:r>
          </w:p>
        </w:tc>
        <w:tc>
          <w:tcPr>
            <w:tcW w:type="dxa" w:w="308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исполнение 202</w:t>
            </w:r>
            <w:r>
              <w:rPr>
                <w:rFonts w:ascii="Times New Roman" w:hAnsi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год</w:t>
            </w:r>
          </w:p>
          <w:p w14:paraId="3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тыс. рублей</w:t>
            </w:r>
          </w:p>
        </w:tc>
        <w:tc>
          <w:tcPr>
            <w:tcW w:type="dxa" w:w="199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отклонение</w:t>
            </w:r>
          </w:p>
          <w:p w14:paraId="3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2"/>
              </w:rPr>
              <w:t>20</w:t>
            </w:r>
            <w:r>
              <w:rPr>
                <w:rFonts w:ascii="Times New Roman" w:hAnsi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году</w:t>
            </w:r>
          </w:p>
        </w:tc>
      </w:tr>
      <w:tr>
        <w:tc>
          <w:tcPr>
            <w:tcW w:type="dxa" w:w="349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0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план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факт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%  </w:t>
            </w:r>
          </w:p>
        </w:tc>
        <w:tc>
          <w:tcPr>
            <w:tcW w:type="dxa" w:w="12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тыс. рублей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%</w:t>
            </w:r>
          </w:p>
        </w:tc>
      </w:tr>
      <w:tr>
        <w:tc>
          <w:tcPr>
            <w:tcW w:type="dxa" w:w="34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5 740,9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6 599,1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6 577,5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99,7</w:t>
            </w:r>
          </w:p>
        </w:tc>
        <w:tc>
          <w:tcPr>
            <w:tcW w:type="dxa" w:w="12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+836,6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14,6</w:t>
            </w:r>
          </w:p>
        </w:tc>
      </w:tr>
      <w:tr>
        <w:tc>
          <w:tcPr>
            <w:tcW w:type="dxa" w:w="34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Платежи при пользовании природными ресурсами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60,3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91,0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91,0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type="dxa" w:w="12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+30,7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50,9</w:t>
            </w:r>
          </w:p>
        </w:tc>
      </w:tr>
      <w:tr>
        <w:tc>
          <w:tcPr>
            <w:tcW w:type="dxa" w:w="34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4 097,2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5 649,7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5 629,7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99,6</w:t>
            </w:r>
          </w:p>
        </w:tc>
        <w:tc>
          <w:tcPr>
            <w:tcW w:type="dxa" w:w="12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+1 532,5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37,4</w:t>
            </w:r>
          </w:p>
        </w:tc>
      </w:tr>
      <w:tr>
        <w:tc>
          <w:tcPr>
            <w:tcW w:type="dxa" w:w="34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от продажи материальных и нематериальных активов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1 088,4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1 030,4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1 030,4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type="dxa" w:w="12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-58,0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-5,3</w:t>
            </w:r>
          </w:p>
        </w:tc>
      </w:tr>
      <w:tr>
        <w:tc>
          <w:tcPr>
            <w:tcW w:type="dxa" w:w="34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Штрафы, санкции, возмещение ущерба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1 582,3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250,0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247,2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98,9</w:t>
            </w:r>
          </w:p>
        </w:tc>
        <w:tc>
          <w:tcPr>
            <w:tcW w:type="dxa" w:w="12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-1 335,1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-84,4</w:t>
            </w:r>
          </w:p>
        </w:tc>
      </w:tr>
      <w:tr>
        <w:tc>
          <w:tcPr>
            <w:tcW w:type="dxa" w:w="34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неналоговые доходы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1 034,5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303,6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419,5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138,2</w:t>
            </w:r>
          </w:p>
        </w:tc>
        <w:tc>
          <w:tcPr>
            <w:tcW w:type="dxa" w:w="12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-615,0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-59,4</w:t>
            </w:r>
          </w:p>
        </w:tc>
      </w:tr>
      <w:tr>
        <w:tc>
          <w:tcPr>
            <w:tcW w:type="dxa" w:w="34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Всего неналоговых доходов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13 603,6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13 923,8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13 995,3</w:t>
            </w:r>
          </w:p>
        </w:tc>
        <w:tc>
          <w:tcPr>
            <w:tcW w:type="dxa" w:w="8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100,5</w:t>
            </w:r>
          </w:p>
        </w:tc>
        <w:tc>
          <w:tcPr>
            <w:tcW w:type="dxa" w:w="12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+391,7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2,9</w:t>
            </w:r>
          </w:p>
        </w:tc>
      </w:tr>
    </w:tbl>
    <w:p w14:paraId="6A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6B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Неналоговые поступления в бюджет муниципального округа в 2025 году составили 13 995,3 тыс.рублей или 100,5% к уточненному плану (13 923,8 тыс.рублей). Увеличение к уровню 2024 года составило 391,7 тыс. рублей или 2,9%.</w:t>
      </w:r>
    </w:p>
    <w:p w14:paraId="6C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Удельный вес неналоговых доходов в общей сумме поступлений (1 209 841,8 тыс. рублей) в бюджет муниципального округа в отчетном периоде составил  1,2%, что на 0,1% ниже, чем в 2024 году.</w:t>
      </w:r>
    </w:p>
    <w:p w14:paraId="6D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Основным источником неналоговых доходов в 2025 году стали доход от использования имущества, находящегося в муниципальной собственности, доля которого в неналоговых доходах составила 47,0% и доход от оказания платных услуг (работ) и компенсации затрат государства, доля которого в неналоговых доходах составила 40,2% .</w:t>
      </w:r>
    </w:p>
    <w:p w14:paraId="6E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Поступления неналоговых доходов представлено следующим образом:</w:t>
      </w:r>
    </w:p>
    <w:p w14:paraId="6F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Доходы от использования имущества, находящегося в муниципальной собственности </w:t>
      </w:r>
      <w:r>
        <w:rPr>
          <w:rFonts w:ascii="Times New Roman" w:hAnsi="Times New Roman"/>
          <w:b w:val="0"/>
          <w:color w:val="000000"/>
          <w:sz w:val="28"/>
        </w:rPr>
        <w:t>поступили в сумме 6 577,5 тыс. рублей или 99,7% от уточненного плана (6 599,1 тыс.рублей), что на 836,6 тыс.рублей или на 14,6% больше поступлений 2024 года (5 740,9 тыс. рублей), в том числе:</w:t>
      </w:r>
    </w:p>
    <w:p w14:paraId="70010000">
      <w:pPr>
        <w:pStyle w:val="Style_3"/>
        <w:numPr>
          <w:numId w:val="4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</w:r>
      <w:r>
        <w:rPr>
          <w:rFonts w:ascii="Times New Roman" w:hAnsi="Times New Roman"/>
          <w:b w:val="0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исполнены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 сумме 5 236,6 тыс.рублей или 99,3% к уточненному плану (5 272,4 тыс. рублей), что на 268,3 тыс.рублей больше исполнения 2024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года (4 968,3 тыс.рублей); </w:t>
      </w:r>
    </w:p>
    <w:p w14:paraId="71010000">
      <w:pPr>
        <w:pStyle w:val="Style_3"/>
        <w:numPr>
          <w:numId w:val="4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1"/>
          <w:color w:val="000000"/>
          <w:sz w:val="28"/>
        </w:rPr>
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исполнены в сумме 0,5 тыс. рублей или 100,0% к уточненному плану (0,5 тыс. рублей);</w:t>
      </w:r>
    </w:p>
    <w:p w14:paraId="72010000">
      <w:pPr>
        <w:pStyle w:val="Style_3"/>
        <w:numPr>
          <w:numId w:val="4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i w:val="1"/>
          <w:color w:val="000000"/>
          <w:sz w:val="28"/>
        </w:rPr>
      </w:pPr>
      <w:r>
        <w:rPr>
          <w:rFonts w:ascii="Times New Roman" w:hAnsi="Times New Roman"/>
          <w:b w:val="0"/>
          <w:i w:val="1"/>
          <w:color w:val="000000"/>
          <w:sz w:val="28"/>
        </w:rPr>
        <w:t>Доходы от платежей от государственных и муниципальных унитарных предприятий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исполнены в сумме 598,4 тыс. рублей или 100,0% к уточненному плану (598,4 тыс. рублей), что на 554,8 тыс.рублей больше исполнения 2024 года (43,6 тыс.рублей);</w:t>
      </w:r>
    </w:p>
    <w:p w14:paraId="73010000">
      <w:pPr>
        <w:pStyle w:val="Style_3"/>
        <w:numPr>
          <w:numId w:val="4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</w:r>
      <w:r>
        <w:rPr>
          <w:rFonts w:ascii="Times New Roman" w:hAnsi="Times New Roman"/>
          <w:i w:val="0"/>
          <w:color w:val="000000"/>
          <w:sz w:val="28"/>
        </w:rPr>
        <w:t xml:space="preserve"> исполнены в сумме 742,0 тыс.рублей или 102,0</w:t>
      </w:r>
      <w:r>
        <w:rPr>
          <w:rFonts w:ascii="Times New Roman" w:hAnsi="Times New Roman"/>
          <w:b w:val="0"/>
          <w:i w:val="0"/>
          <w:color w:val="000000"/>
          <w:sz w:val="28"/>
        </w:rPr>
        <w:t>% к уточненному плану (727,7 тыс.рублей), что на 13,0 тыс.рублей больше исполнения 2024 года (729,0 тыс. рублей).</w:t>
      </w:r>
    </w:p>
    <w:p w14:paraId="74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Платежи при пользовании природными ресурсами </w:t>
      </w:r>
      <w:r>
        <w:rPr>
          <w:rFonts w:ascii="Times New Roman" w:hAnsi="Times New Roman"/>
          <w:b w:val="0"/>
          <w:i w:val="0"/>
          <w:color w:val="000000"/>
          <w:sz w:val="28"/>
        </w:rPr>
        <w:t>поступили в сумме 91,0 тыс. рублей, к показателям уточненного плана (91,0 тыс. рублей) исполнение составило 100,0%. Группу доходов формирует плата за негативное воздействие на окружающую среду. Доходы к уровню 2024 года увеличились на 30,7 тыс.рублей или на 50,9%.</w:t>
      </w:r>
    </w:p>
    <w:p w14:paraId="75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Доходы от оказания платных услуг и компенсации затрат государства </w:t>
      </w:r>
      <w:r>
        <w:rPr>
          <w:rFonts w:ascii="Times New Roman" w:hAnsi="Times New Roman"/>
          <w:b w:val="0"/>
          <w:color w:val="000000"/>
          <w:sz w:val="28"/>
        </w:rPr>
        <w:t xml:space="preserve">поступили в сумме 5 629,7 тыс.рублей или 99,6% к уточненному годовому плану (5 649,7 тыс. рублей) и на 1 532,5 тыс. рублей (на 37,4%) больше поступлений </w:t>
      </w:r>
      <w:r>
        <w:rPr>
          <w:rFonts w:ascii="Times New Roman" w:hAnsi="Times New Roman"/>
          <w:b w:val="0"/>
          <w:color w:val="000000"/>
          <w:sz w:val="28"/>
        </w:rPr>
        <w:t>аналогичного периода прошлого года (4 097,2 тыс. рублей).</w:t>
      </w:r>
    </w:p>
    <w:p w14:paraId="76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Доходы от продажи материальных и нематериальных активов </w:t>
      </w:r>
      <w:r>
        <w:rPr>
          <w:rFonts w:ascii="Times New Roman" w:hAnsi="Times New Roman"/>
          <w:b w:val="0"/>
          <w:color w:val="000000"/>
          <w:sz w:val="28"/>
        </w:rPr>
        <w:t>в 2025 году исполнены в сумме 1 030,4 тыс. рублей или 100,0% от годового плана                (1 030,4 тыс.рублей), со снижением на 58,0 тыс.рублей к уровню исполнения за 2024 год (1 088,4</w:t>
      </w:r>
      <w:r>
        <w:rPr>
          <w:rFonts w:ascii="Times New Roman" w:hAnsi="Times New Roman"/>
          <w:b w:val="0"/>
          <w:color w:val="000000"/>
          <w:sz w:val="28"/>
        </w:rPr>
        <w:t xml:space="preserve"> тыс. рублей). Группу доходов формируют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доходы от продажи земельных участков,</w:t>
      </w:r>
      <w:r>
        <w:rPr>
          <w:rFonts w:ascii="Times New Roman" w:hAnsi="Times New Roman"/>
          <w:b w:val="0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находящихся в государственной и муниципальной собственности и доходы от приватизации имущества, находящегося в государственной и муниципальной собственности.</w:t>
      </w:r>
    </w:p>
    <w:p w14:paraId="77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Доходы от поступления штрафов, санкций, возмещений ущерба</w:t>
      </w:r>
      <w:r>
        <w:rPr>
          <w:rFonts w:ascii="Times New Roman" w:hAnsi="Times New Roman"/>
          <w:b w:val="0"/>
          <w:color w:val="000000"/>
          <w:sz w:val="28"/>
        </w:rPr>
        <w:t xml:space="preserve"> поступили в сумме 247,2 тыс. рублей или 98,9% к уточненному плану (250,0 тыс. рублей)</w:t>
      </w:r>
      <w:r>
        <w:rPr>
          <w:rFonts w:ascii="Times New Roman" w:hAnsi="Times New Roman"/>
          <w:b w:val="0"/>
          <w:color w:val="000000"/>
          <w:sz w:val="28"/>
        </w:rPr>
        <w:t>, что на 1 335,1 тыс. рублей меньше поступлений 2024 года (1 582,</w:t>
      </w:r>
      <w:r>
        <w:rPr>
          <w:rFonts w:ascii="Times New Roman" w:hAnsi="Times New Roman"/>
          <w:b w:val="0"/>
          <w:color w:val="000000"/>
          <w:sz w:val="28"/>
        </w:rPr>
        <w:t>3 тыс. рублей). Наибольшие объемы поступлений в 2025 году составили:</w:t>
      </w:r>
    </w:p>
    <w:p w14:paraId="78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-</w:t>
      </w:r>
      <w:r>
        <w:rPr>
          <w:rFonts w:ascii="Times New Roman" w:hAnsi="Times New Roman"/>
          <w:b w:val="0"/>
          <w:i w:val="1"/>
          <w:color w:val="000000"/>
          <w:sz w:val="28"/>
        </w:rPr>
        <w:t>административные штрафы, установленные Кодексом Российской Федерации об административных правонарушениях</w:t>
      </w:r>
      <w:r>
        <w:rPr>
          <w:rFonts w:ascii="Times New Roman" w:hAnsi="Times New Roman"/>
          <w:b w:val="0"/>
          <w:color w:val="000000"/>
          <w:sz w:val="28"/>
        </w:rPr>
        <w:t xml:space="preserve"> - в сумме 81,4 тыс. рублей или 94,2% от уточненного плана (86,4 тыс. рублей), 32,9% в общем объеме поступлений к данному подвиду доходов;</w:t>
      </w:r>
    </w:p>
    <w:p w14:paraId="79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-</w:t>
      </w:r>
      <w:r>
        <w:rPr>
          <w:rFonts w:ascii="Times New Roman" w:hAnsi="Times New Roman"/>
          <w:b w:val="0"/>
          <w:i w:val="1"/>
          <w:color w:val="000000"/>
          <w:sz w:val="28"/>
        </w:rPr>
        <w:t>штрафы, неустойки, пени, уплаченных в соответствии с законом или договором в случае неисполнения или ненадлежащего исполнения обязательств перед муниципальным органом</w:t>
      </w:r>
      <w:r>
        <w:rPr>
          <w:rFonts w:ascii="Times New Roman" w:hAnsi="Times New Roman"/>
          <w:b w:val="0"/>
          <w:color w:val="000000"/>
          <w:sz w:val="28"/>
        </w:rPr>
        <w:t xml:space="preserve"> – в сумме 86,0 тыс.рублей или 100,0% от уточненного плана (86,0 тыс. рублей), 34,8%</w:t>
      </w:r>
      <w:r>
        <w:rPr>
          <w:rFonts w:ascii="Times New Roman" w:hAnsi="Times New Roman"/>
          <w:b w:val="0"/>
          <w:color w:val="000000"/>
          <w:sz w:val="28"/>
        </w:rPr>
        <w:t xml:space="preserve"> в общем объеме поступлений к данному подвиду доходов;</w:t>
      </w:r>
    </w:p>
    <w:p w14:paraId="7A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  <w:shd w:fill="FFD821" w:val="clear"/>
        </w:rPr>
      </w:pPr>
      <w:r>
        <w:rPr>
          <w:rFonts w:ascii="Times New Roman" w:hAnsi="Times New Roman"/>
          <w:b w:val="0"/>
          <w:i w:val="1"/>
          <w:color w:val="000000"/>
          <w:sz w:val="28"/>
        </w:rPr>
        <w:t xml:space="preserve">-платежи, уплачиваемые в целях возмещения вреда </w:t>
      </w:r>
      <w:r>
        <w:rPr>
          <w:rFonts w:ascii="Times New Roman" w:hAnsi="Times New Roman"/>
          <w:b w:val="0"/>
          <w:color w:val="000000"/>
          <w:sz w:val="28"/>
        </w:rPr>
        <w:t>– в сумме 49,8 тыс. рублей или 100,0% от уточненного плана (49,8 тыс. рублей), 20,1% в общем объеме поступлений к данному подвиду доходов.</w:t>
      </w:r>
    </w:p>
    <w:p w14:paraId="7B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Прочие неналоговые доходы</w:t>
      </w:r>
      <w:r>
        <w:rPr>
          <w:rFonts w:ascii="Times New Roman" w:hAnsi="Times New Roman"/>
          <w:b w:val="0"/>
          <w:color w:val="000000"/>
          <w:sz w:val="28"/>
        </w:rPr>
        <w:t xml:space="preserve"> поступили в сумме 419,5 тыс. рублей или 138,2% от уточненного плана (303,6 тыс. рублей), что на 615,0 тыс. рублей ниже уро</w:t>
      </w:r>
      <w:r>
        <w:rPr>
          <w:rFonts w:ascii="Times New Roman" w:hAnsi="Times New Roman"/>
          <w:b w:val="0"/>
          <w:color w:val="000000"/>
          <w:sz w:val="28"/>
        </w:rPr>
        <w:t xml:space="preserve">вня 2024 года. </w:t>
      </w:r>
    </w:p>
    <w:p w14:paraId="7C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Выполнение уточненного годового плана по поступлению</w:t>
      </w:r>
      <w:r>
        <w:rPr>
          <w:rFonts w:ascii="Times New Roman" w:hAnsi="Times New Roman"/>
          <w:b w:val="0"/>
          <w:i w:val="1"/>
          <w:color w:val="000000"/>
          <w:sz w:val="28"/>
        </w:rPr>
        <w:t xml:space="preserve"> средств самообложения граждан</w:t>
      </w:r>
      <w:r>
        <w:rPr>
          <w:rFonts w:ascii="Times New Roman" w:hAnsi="Times New Roman"/>
          <w:b w:val="0"/>
          <w:color w:val="000000"/>
          <w:sz w:val="28"/>
        </w:rPr>
        <w:t xml:space="preserve"> в бюджет муниципального округа составило 104,6%. Поступление составило 174,1 тыс. рублей. </w:t>
      </w:r>
    </w:p>
    <w:p w14:paraId="7D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Поступление</w:t>
      </w:r>
      <w:r>
        <w:rPr>
          <w:rFonts w:ascii="Times New Roman" w:hAnsi="Times New Roman"/>
          <w:b w:val="0"/>
          <w:i w:val="1"/>
          <w:color w:val="000000"/>
          <w:sz w:val="28"/>
        </w:rPr>
        <w:t xml:space="preserve"> инициативных платежей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2025 году</w:t>
      </w:r>
      <w:r>
        <w:rPr>
          <w:rFonts w:ascii="Times New Roman" w:hAnsi="Times New Roman"/>
          <w:b w:val="0"/>
          <w:color w:val="000000"/>
          <w:sz w:val="28"/>
        </w:rPr>
        <w:t xml:space="preserve"> в рамках проекта «Вам решать» составило 120,3 тыс. рублей (87,7% от уточненного годового плана), что на 679,2 тыс. рублей меньше уровня 2024 года.</w:t>
      </w:r>
    </w:p>
    <w:p w14:paraId="7E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i w:val="1"/>
          <w:color w:val="000000"/>
          <w:sz w:val="28"/>
        </w:rPr>
        <w:t>Прочие неналоговые доходы бюджетов муниципальных округов</w:t>
      </w:r>
      <w:r>
        <w:rPr>
          <w:rFonts w:ascii="Times New Roman" w:hAnsi="Times New Roman"/>
          <w:b w:val="0"/>
          <w:color w:val="000000"/>
          <w:sz w:val="28"/>
        </w:rPr>
        <w:t xml:space="preserve"> поступили в сумме 125,1 тыс. рублей (невостребованные средства со счета во временном распоряжении).</w:t>
      </w:r>
    </w:p>
    <w:p w14:paraId="7F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80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2.3. Безвозмездные поступления</w:t>
      </w:r>
    </w:p>
    <w:p w14:paraId="81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82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План по безвозмездным поступлениям на 2025 год, первоначально утвержденный решением о бюджете, составил 774 248,2 тыс. рублей, в отчетном периоде увеличен на 270 985,6 тыс. рублей и составил 1 045 233,8 тыс. рублей.</w:t>
      </w:r>
    </w:p>
    <w:p w14:paraId="83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отчетном периоде безвозмездные поступления с учетом возврата остатков субсидий, субвенций и иных межбюджетных трансфертов, имеющих целевое назначение, прошлых лет («минус» 1 447,6 тыс. рублей) поступили в сумме           971 357,7 тыс. рублей или 92,9% от плановых назначений на год (1 045 233,8 тыс. рублей).</w:t>
      </w:r>
    </w:p>
    <w:p w14:paraId="84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Информация по видам поступлений представлена в таблице 7: </w:t>
      </w:r>
    </w:p>
    <w:p w14:paraId="85010000">
      <w:pPr>
        <w:pStyle w:val="Style_3"/>
        <w:spacing w:after="0" w:line="240" w:lineRule="auto"/>
        <w:ind w:firstLine="567" w:left="0"/>
        <w:jc w:val="right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Таблица 7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386"/>
        <w:gridCol w:w="1306"/>
        <w:gridCol w:w="1302"/>
        <w:gridCol w:w="1136"/>
        <w:gridCol w:w="847"/>
        <w:gridCol w:w="1149"/>
        <w:gridCol w:w="798"/>
      </w:tblGrid>
      <w:tr>
        <w:trPr>
          <w:trHeight w:hRule="atLeast" w:val="436"/>
        </w:trPr>
        <w:tc>
          <w:tcPr>
            <w:tcW w:type="dxa" w:w="338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безвозмездные поступления</w:t>
            </w:r>
          </w:p>
        </w:tc>
        <w:tc>
          <w:tcPr>
            <w:tcW w:type="dxa" w:w="130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исполнение 20</w:t>
            </w:r>
            <w:r>
              <w:rPr>
                <w:rFonts w:ascii="Times New Roman" w:hAnsi="Times New Roman"/>
                <w:color w:val="000000"/>
                <w:sz w:val="22"/>
              </w:rPr>
              <w:t>24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год</w:t>
            </w:r>
          </w:p>
          <w:p w14:paraId="8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тыс. рублей</w:t>
            </w:r>
          </w:p>
        </w:tc>
        <w:tc>
          <w:tcPr>
            <w:tcW w:type="dxa" w:w="328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исполнение 202</w:t>
            </w:r>
            <w:r>
              <w:rPr>
                <w:rFonts w:ascii="Times New Roman" w:hAnsi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год</w:t>
            </w:r>
          </w:p>
          <w:p w14:paraId="8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тыс. рублей</w:t>
            </w:r>
          </w:p>
        </w:tc>
        <w:tc>
          <w:tcPr>
            <w:tcW w:type="dxa" w:w="194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отклонение</w:t>
            </w:r>
          </w:p>
          <w:p w14:paraId="8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2"/>
              </w:rPr>
              <w:t>20</w:t>
            </w:r>
            <w:r>
              <w:rPr>
                <w:rFonts w:ascii="Times New Roman" w:hAnsi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году</w:t>
            </w:r>
          </w:p>
        </w:tc>
      </w:tr>
      <w:tr>
        <w:tc>
          <w:tcPr>
            <w:tcW w:type="dxa" w:w="338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0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план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факт</w:t>
            </w:r>
          </w:p>
        </w:tc>
        <w:tc>
          <w:tcPr>
            <w:tcW w:type="dxa" w:w="8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%  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тыс. рублей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%</w:t>
            </w:r>
          </w:p>
        </w:tc>
      </w:tr>
      <w:tr>
        <w:trPr>
          <w:trHeight w:hRule="atLeast" w:val="296"/>
        </w:trPr>
        <w:tc>
          <w:tcPr>
            <w:tcW w:type="dxa" w:w="3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Дотации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327 871,9</w:t>
            </w:r>
          </w:p>
        </w:tc>
        <w:tc>
          <w:tcPr>
            <w:tcW w:type="dxa" w:w="13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350 193,9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315 246,5</w:t>
            </w:r>
          </w:p>
        </w:tc>
        <w:tc>
          <w:tcPr>
            <w:tcW w:type="dxa" w:w="8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90,0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-12 625,4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-3,9</w:t>
            </w:r>
          </w:p>
        </w:tc>
      </w:tr>
      <w:tr>
        <w:tc>
          <w:tcPr>
            <w:tcW w:type="dxa" w:w="3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spacing w:after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Субсидии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135 381,0</w:t>
            </w:r>
          </w:p>
        </w:tc>
        <w:tc>
          <w:tcPr>
            <w:tcW w:type="dxa" w:w="13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298 341,0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266 569,6</w:t>
            </w:r>
          </w:p>
        </w:tc>
        <w:tc>
          <w:tcPr>
            <w:tcW w:type="dxa" w:w="8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89,4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131 188,6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96,9</w:t>
            </w:r>
          </w:p>
        </w:tc>
      </w:tr>
      <w:tr>
        <w:tc>
          <w:tcPr>
            <w:tcW w:type="dxa" w:w="3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spacing w:after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Субвенции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345 683,4</w:t>
            </w:r>
          </w:p>
        </w:tc>
        <w:tc>
          <w:tcPr>
            <w:tcW w:type="dxa" w:w="13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365 637,9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358 480,6</w:t>
            </w:r>
          </w:p>
        </w:tc>
        <w:tc>
          <w:tcPr>
            <w:tcW w:type="dxa" w:w="8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98,0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12 797,2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3,7</w:t>
            </w:r>
          </w:p>
        </w:tc>
      </w:tr>
      <w:tr>
        <w:tc>
          <w:tcPr>
            <w:tcW w:type="dxa" w:w="3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межбюджетные трансферты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33 579,7</w:t>
            </w:r>
          </w:p>
        </w:tc>
        <w:tc>
          <w:tcPr>
            <w:tcW w:type="dxa" w:w="13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31 627,6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31 627,6</w:t>
            </w:r>
          </w:p>
        </w:tc>
        <w:tc>
          <w:tcPr>
            <w:tcW w:type="dxa" w:w="8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-1 952,1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-5,8</w:t>
            </w:r>
          </w:p>
        </w:tc>
      </w:tr>
      <w:tr>
        <w:tc>
          <w:tcPr>
            <w:tcW w:type="dxa" w:w="3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spacing w:after="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безвозмездные поступления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842 516,0</w:t>
            </w:r>
          </w:p>
        </w:tc>
        <w:tc>
          <w:tcPr>
            <w:tcW w:type="dxa" w:w="13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1 045 800,4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971 924,3</w:t>
            </w:r>
          </w:p>
        </w:tc>
        <w:tc>
          <w:tcPr>
            <w:tcW w:type="dxa" w:w="8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92,9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129 408,3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15,4</w:t>
            </w:r>
          </w:p>
        </w:tc>
      </w:tr>
      <w:tr>
        <w:tc>
          <w:tcPr>
            <w:tcW w:type="dxa" w:w="3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3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612,0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612,0</w:t>
            </w:r>
          </w:p>
        </w:tc>
        <w:tc>
          <w:tcPr>
            <w:tcW w:type="dxa" w:w="8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612,0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x</w:t>
            </w:r>
          </w:p>
        </w:tc>
      </w:tr>
      <w:tr>
        <w:tc>
          <w:tcPr>
            <w:tcW w:type="dxa" w:w="3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безвозмездные поступления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3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269,0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269,0</w:t>
            </w:r>
          </w:p>
        </w:tc>
        <w:tc>
          <w:tcPr>
            <w:tcW w:type="dxa" w:w="8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269,0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x</w:t>
            </w:r>
          </w:p>
        </w:tc>
      </w:tr>
      <w:tr>
        <w:tc>
          <w:tcPr>
            <w:tcW w:type="dxa" w:w="3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-1 433,4</w:t>
            </w:r>
          </w:p>
        </w:tc>
        <w:tc>
          <w:tcPr>
            <w:tcW w:type="dxa" w:w="13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-1 447,6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-1 447,6</w:t>
            </w:r>
          </w:p>
        </w:tc>
        <w:tc>
          <w:tcPr>
            <w:tcW w:type="dxa" w:w="8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-14,2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1,0</w:t>
            </w:r>
          </w:p>
        </w:tc>
      </w:tr>
      <w:tr>
        <w:tc>
          <w:tcPr>
            <w:tcW w:type="dxa" w:w="3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spacing w:after="0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безвозмездные поступления с учетом возврата остатков субсидий, субвенций и иных межбюджетных трансфертов прошлых лет</w:t>
            </w:r>
          </w:p>
        </w:tc>
        <w:tc>
          <w:tcPr>
            <w:tcW w:type="dxa" w:w="13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841 082,6</w:t>
            </w:r>
          </w:p>
        </w:tc>
        <w:tc>
          <w:tcPr>
            <w:tcW w:type="dxa" w:w="13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1 045 233,8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971 357,7</w:t>
            </w:r>
          </w:p>
        </w:tc>
        <w:tc>
          <w:tcPr>
            <w:tcW w:type="dxa" w:w="8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92,9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130 275,1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15,5</w:t>
            </w:r>
          </w:p>
        </w:tc>
      </w:tr>
    </w:tbl>
    <w:p w14:paraId="D1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D2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Доля безвозмездных поступлений по итогам исполнения бюджета по доходам в 2025 году составила 80,3%.</w:t>
      </w:r>
    </w:p>
    <w:p w14:paraId="D3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рамках безвозмездных поступлений от других бюджетов бюджетной системы Российской Федерации в бюджет муниципального округа поступили:</w:t>
      </w:r>
    </w:p>
    <w:p w14:paraId="D4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-</w:t>
      </w:r>
      <w:r>
        <w:rPr>
          <w:rFonts w:ascii="Times New Roman" w:hAnsi="Times New Roman"/>
          <w:b w:val="1"/>
          <w:color w:val="000000"/>
          <w:sz w:val="28"/>
        </w:rPr>
        <w:t>Дотации</w:t>
      </w:r>
      <w:r>
        <w:rPr>
          <w:rFonts w:ascii="Times New Roman" w:hAnsi="Times New Roman"/>
          <w:b w:val="0"/>
          <w:color w:val="000000"/>
          <w:sz w:val="28"/>
        </w:rPr>
        <w:t xml:space="preserve"> с су</w:t>
      </w:r>
      <w:r>
        <w:rPr>
          <w:rFonts w:ascii="Times New Roman" w:hAnsi="Times New Roman"/>
          <w:b w:val="0"/>
          <w:color w:val="000000"/>
          <w:sz w:val="28"/>
        </w:rPr>
        <w:t xml:space="preserve">мме 315 246,5 тыс. рублей или 90,0% от плановых назначений 350 193,9 тыс. рублей, </w:t>
      </w:r>
      <w:r>
        <w:rPr>
          <w:rFonts w:ascii="Times New Roman" w:hAnsi="Times New Roman"/>
          <w:b w:val="0"/>
          <w:color w:val="000000"/>
          <w:sz w:val="28"/>
        </w:rPr>
        <w:t>в том числе:</w:t>
      </w:r>
    </w:p>
    <w:p w14:paraId="D5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дотации на выравнивание бюджетной обеспеченности в сумме 278 012,8 тыс. рублей;</w:t>
      </w:r>
    </w:p>
    <w:p w14:paraId="D6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дотации на поддержку мер по обеспечению сбалансированности бюджетов в сумме 36 513,7 тыс.рублей;</w:t>
      </w:r>
    </w:p>
    <w:p w14:paraId="D7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прочие дотации в сумме 720,0 тыс. рублей.</w:t>
      </w:r>
    </w:p>
    <w:p w14:paraId="D8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По сравнению с 2024 годом фактическое поступление дотаций отчетного периода уменьшилось на 12 625,4 тыс. рублей или на 3,9%.</w:t>
      </w:r>
    </w:p>
    <w:p w14:paraId="D9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-</w:t>
      </w:r>
      <w:r>
        <w:rPr>
          <w:rFonts w:ascii="Times New Roman" w:hAnsi="Times New Roman"/>
          <w:b w:val="1"/>
          <w:color w:val="000000"/>
          <w:sz w:val="28"/>
        </w:rPr>
        <w:t>Субсидии</w:t>
      </w:r>
      <w:r>
        <w:rPr>
          <w:rFonts w:ascii="Times New Roman" w:hAnsi="Times New Roman"/>
          <w:b w:val="0"/>
          <w:color w:val="000000"/>
          <w:sz w:val="28"/>
        </w:rPr>
        <w:t xml:space="preserve"> в сумме 266 569,6 тыс. рублей или 89,4% от плановых назначений (298 341,0 тыс. рублей).</w:t>
      </w:r>
    </w:p>
    <w:p w14:paraId="DA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По сравнению с 2024 годом фактическое поступление субсидии отчетного периода увеличилось на сумму 131 188,6 тыс.рублей или на 96,9%.</w:t>
      </w:r>
    </w:p>
    <w:p w14:paraId="DB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-</w:t>
      </w:r>
      <w:r>
        <w:rPr>
          <w:rFonts w:ascii="Times New Roman" w:hAnsi="Times New Roman"/>
          <w:b w:val="1"/>
          <w:color w:val="000000"/>
          <w:sz w:val="28"/>
        </w:rPr>
        <w:t>Субвенции</w:t>
      </w:r>
      <w:r>
        <w:rPr>
          <w:rFonts w:ascii="Times New Roman" w:hAnsi="Times New Roman"/>
          <w:b w:val="0"/>
          <w:color w:val="000000"/>
          <w:sz w:val="28"/>
        </w:rPr>
        <w:t xml:space="preserve"> в сумме 358 480,6 тыс. рублей или 98,0% от плановых назначений (365 637,9 тыс. рублей). По сравнению с 2024 годом фактическое поступление субвенции отчетного года увеличилось на сумму 12 797,2 тыс. рублей (3,7%).</w:t>
      </w:r>
    </w:p>
    <w:p w14:paraId="DC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-</w:t>
      </w:r>
      <w:r>
        <w:rPr>
          <w:rFonts w:ascii="Times New Roman" w:hAnsi="Times New Roman"/>
          <w:b w:val="1"/>
          <w:color w:val="000000"/>
          <w:sz w:val="28"/>
        </w:rPr>
        <w:t>Иные межбюджетные трансферты</w:t>
      </w:r>
      <w:r>
        <w:rPr>
          <w:rFonts w:ascii="Times New Roman" w:hAnsi="Times New Roman"/>
          <w:b w:val="0"/>
          <w:color w:val="000000"/>
          <w:sz w:val="28"/>
        </w:rPr>
        <w:t xml:space="preserve"> в сумме 31 627,6 тыс. рублей или 100,0% от плановых назначений, в сравнении с 2024 годом поступление иных межбюджетных трансфертов уменьшилось на сумму 1 952,1 тыс. рублей (5,8%).</w:t>
      </w:r>
    </w:p>
    <w:p w14:paraId="DD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Безвозмездные поступления от негосударственных организаций</w:t>
      </w:r>
      <w:r>
        <w:rPr>
          <w:rFonts w:ascii="Times New Roman" w:hAnsi="Times New Roman"/>
          <w:b w:val="0"/>
          <w:color w:val="000000"/>
          <w:sz w:val="28"/>
        </w:rPr>
        <w:t xml:space="preserve"> поступили в сумме 612,0 тыс. рублей или 100,0% от плановых назначений.</w:t>
      </w:r>
    </w:p>
    <w:p w14:paraId="DE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Прочие безвозмездные поступления </w:t>
      </w:r>
      <w:r>
        <w:rPr>
          <w:rFonts w:ascii="Times New Roman" w:hAnsi="Times New Roman"/>
          <w:b w:val="0"/>
          <w:color w:val="000000"/>
          <w:sz w:val="28"/>
        </w:rPr>
        <w:t>поступили в сумме 269,0 тыс. рублей или 100,0% от плановых назначений.</w:t>
      </w:r>
    </w:p>
    <w:p w14:paraId="DF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>Возврат остатков субсидий, субвенций и иных межбюджетных трансфертов, имеющих целевое назначение, прошлых лет выразился в сумме «минус» 1 447,6 тыс. рублей, в том числе:</w:t>
      </w:r>
    </w:p>
    <w:p w14:paraId="E0010000">
      <w:pPr>
        <w:pStyle w:val="Style_3"/>
        <w:numPr>
          <w:numId w:val="5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 «минус» 312,8 тыс. рублей;</w:t>
      </w:r>
    </w:p>
    <w:p w14:paraId="E1010000">
      <w:pPr>
        <w:pStyle w:val="Style_3"/>
        <w:numPr>
          <w:numId w:val="5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</w:t>
      </w:r>
      <w:r>
        <w:rPr>
          <w:rFonts w:ascii="Times New Roman" w:hAnsi="Times New Roman"/>
          <w:b w:val="0"/>
          <w:color w:val="000000"/>
          <w:sz w:val="28"/>
        </w:rPr>
        <w:t>угов из бюджетов муниципальных округов «минус» 0,9 тыс.рублей;</w:t>
      </w:r>
    </w:p>
    <w:p w14:paraId="E2010000">
      <w:pPr>
        <w:pStyle w:val="Style_3"/>
        <w:numPr>
          <w:numId w:val="5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</w:t>
      </w:r>
      <w:r>
        <w:rPr>
          <w:rFonts w:ascii="Times New Roman" w:hAnsi="Times New Roman"/>
          <w:b w:val="0"/>
          <w:color w:val="000000"/>
          <w:sz w:val="28"/>
        </w:rPr>
        <w:t>рограммы начального общего образования, образовательные программы основного общего образования, образовательные программы среднего общего обр</w:t>
      </w:r>
      <w:r>
        <w:rPr>
          <w:rFonts w:ascii="Times New Roman" w:hAnsi="Times New Roman"/>
          <w:b w:val="0"/>
          <w:color w:val="000000"/>
          <w:sz w:val="28"/>
        </w:rPr>
        <w:t>азования, из бюджетов муниципального округа «минус» 97,4 тыс. рублей;</w:t>
      </w:r>
    </w:p>
    <w:p w14:paraId="E3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  <w:shd w:fill="FFD821" w:val="clear"/>
        </w:rPr>
      </w:pPr>
      <w:r>
        <w:rPr>
          <w:rFonts w:ascii="Times New Roman" w:hAnsi="Times New Roman"/>
          <w:b w:val="0"/>
          <w:color w:val="000000"/>
          <w:sz w:val="28"/>
        </w:rPr>
        <w:t>- возвра</w:t>
      </w:r>
      <w:r>
        <w:rPr>
          <w:rFonts w:ascii="Times New Roman" w:hAnsi="Times New Roman"/>
          <w:b w:val="0"/>
          <w:color w:val="000000"/>
          <w:sz w:val="28"/>
        </w:rPr>
        <w:t xml:space="preserve">т прочих остатков субсидий, субвенций и иных межбюджетных трансфертов, имеющих целевое назначение, прошлых лет, из бюджетов муниципальных округов «минус» 1 036,5 тыс. рублей. </w:t>
      </w:r>
    </w:p>
    <w:p w14:paraId="E4010000">
      <w:pPr>
        <w:pStyle w:val="Style_3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E5010000">
      <w:pPr>
        <w:pStyle w:val="Style_3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Расходы бюджета муниципального округа</w:t>
      </w:r>
    </w:p>
    <w:p w14:paraId="E6010000">
      <w:pPr>
        <w:pStyle w:val="Style_3"/>
        <w:spacing w:line="240" w:lineRule="auto"/>
        <w:ind w:firstLine="0" w:left="-709"/>
        <w:jc w:val="center"/>
        <w:rPr>
          <w:rFonts w:ascii="Times New Roman" w:hAnsi="Times New Roman"/>
          <w:b w:val="1"/>
          <w:sz w:val="28"/>
        </w:rPr>
      </w:pPr>
    </w:p>
    <w:p w14:paraId="E7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На основании изменений в решение о бюджете </w:t>
      </w:r>
      <w:r>
        <w:rPr>
          <w:rFonts w:ascii="Times New Roman" w:hAnsi="Times New Roman"/>
          <w:b w:val="0"/>
          <w:sz w:val="28"/>
        </w:rPr>
        <w:t>(+291 636,8 тыс. рублей) и в сводную роспись (-9 388,6 тыс. рублей), уточненный план расходов бюджета муниципального округа на 2025 год составил 1 297 986,2 тыс. рублей увеличен на 282 248,2 тыс. рублей или на 27,8% по сравнению с первоначально утвержденным планом (1 015 738,0 тыс.рублей).</w:t>
      </w:r>
    </w:p>
    <w:p w14:paraId="E8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Расходы бюджета муниципального округа в 2025 году исполнены в сумме      1 225 987,5 тыс. рублей или 94,5% от уточненного годового плана (1 297 986,2 тыс. рублей), с увеличением на 151 236,4 тыс. рублей к уровню исполнения расходов в 2024 году (1 074 751,1 тыс. рублей).</w:t>
      </w:r>
    </w:p>
    <w:p w14:paraId="E9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Расходы бюджета муниципального округа были направлены на реализацию муниципальных программ (90,7% от кассовых расходов) и непрограммных мероприятий (9,3%).</w:t>
      </w:r>
    </w:p>
    <w:p w14:paraId="EA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 конец отчетного периода не были исполнены запланированные ассигнования в общей сумме 71 998,7 тыс.рублей (5,5% к уточненному плану) по следу</w:t>
      </w:r>
      <w:r>
        <w:rPr>
          <w:rFonts w:ascii="Times New Roman" w:hAnsi="Times New Roman"/>
          <w:b w:val="0"/>
          <w:sz w:val="28"/>
        </w:rPr>
        <w:t>ющим направлениям расходов:</w:t>
      </w:r>
    </w:p>
    <w:p w14:paraId="EB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  <w:shd w:fill="FFD821" w:val="clear"/>
        </w:rPr>
      </w:pPr>
      <w:r>
        <w:rPr>
          <w:rFonts w:ascii="Times New Roman" w:hAnsi="Times New Roman"/>
          <w:b w:val="0"/>
          <w:sz w:val="28"/>
        </w:rPr>
        <w:t>1)</w:t>
      </w:r>
      <w:r>
        <w:rPr>
          <w:rFonts w:ascii="Times New Roman" w:hAnsi="Times New Roman"/>
          <w:b w:val="0"/>
          <w:sz w:val="28"/>
        </w:rPr>
        <w:t>по непрограммным расходам –</w:t>
      </w:r>
      <w:r>
        <w:rPr>
          <w:rFonts w:ascii="Times New Roman" w:hAnsi="Times New Roman"/>
          <w:b w:val="0"/>
          <w:sz w:val="28"/>
        </w:rPr>
        <w:t xml:space="preserve"> 5 277,2 тыс.рублей </w:t>
      </w:r>
      <w:r>
        <w:rPr>
          <w:rFonts w:ascii="Times New Roman" w:hAnsi="Times New Roman"/>
          <w:b w:val="0"/>
          <w:sz w:val="28"/>
        </w:rPr>
        <w:t>(из них 3 602,2 тыс. рублей – расходы на содержание аппарата управления; 1 675,0 тыс.рублей – прочие непрограммные расходы);</w:t>
      </w:r>
    </w:p>
    <w:p w14:paraId="EC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</w:t>
      </w:r>
      <w:r>
        <w:rPr>
          <w:rFonts w:ascii="Times New Roman" w:hAnsi="Times New Roman"/>
          <w:b w:val="0"/>
          <w:sz w:val="28"/>
        </w:rPr>
        <w:t>по муниципальным программам –66 721,5 тыс. рублей, в основном:</w:t>
      </w:r>
    </w:p>
    <w:p w14:paraId="ED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</w:t>
      </w:r>
      <w:r>
        <w:rPr>
          <w:rFonts w:ascii="Times New Roman" w:hAnsi="Times New Roman"/>
          <w:b w:val="0"/>
          <w:sz w:val="28"/>
        </w:rPr>
        <w:t>«Экология Шарангского муниципального округа на 2021-2025 годы»–            26 647,9 тыс. рублей;</w:t>
      </w:r>
    </w:p>
    <w:p w14:paraId="EE010000">
      <w:pPr>
        <w:pStyle w:val="Style_3"/>
        <w:numPr>
          <w:numId w:val="6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«Развитие образования Шарангского муниципального округа» – 19 757,5 тыс. рублей;</w:t>
      </w:r>
    </w:p>
    <w:p w14:paraId="EF010000">
      <w:pPr>
        <w:pStyle w:val="Style_3"/>
        <w:numPr>
          <w:numId w:val="7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>«Развитие культуры Шарангского муниципального округа на 2021-2025 годы» –</w:t>
      </w:r>
      <w:r>
        <w:rPr>
          <w:rFonts w:ascii="Times New Roman" w:hAnsi="Times New Roman"/>
          <w:b w:val="0"/>
          <w:sz w:val="28"/>
        </w:rPr>
        <w:t xml:space="preserve"> 7 431,7 тыс.рублей;</w:t>
      </w:r>
    </w:p>
    <w:p w14:paraId="F0010000">
      <w:pPr>
        <w:pStyle w:val="Style_3"/>
        <w:numPr>
          <w:numId w:val="7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«Инвестиционная программа Шарангского муниципального округа Нижегородской области на 2024-2026 годы»– 7 617,4 тыс. рублей;</w:t>
      </w:r>
    </w:p>
    <w:p w14:paraId="F1010000">
      <w:pPr>
        <w:pStyle w:val="Style_3"/>
        <w:numPr>
          <w:numId w:val="7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«Развитие транспортной системы в Шарангском муниципальном округе Нижегородской области в 2021-2025 годы» – 2 772,7 тыс. рублей;</w:t>
      </w:r>
    </w:p>
    <w:p w14:paraId="F2010000">
      <w:pPr>
        <w:pStyle w:val="Style_3"/>
        <w:numPr>
          <w:numId w:val="7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«Благоустройство территории Шарангского муниципального округа Нижегородской области на период 2025-2030гг.»– 1 208,</w:t>
      </w:r>
      <w:r>
        <w:rPr>
          <w:rFonts w:ascii="Times New Roman" w:hAnsi="Times New Roman"/>
          <w:b w:val="0"/>
          <w:sz w:val="28"/>
        </w:rPr>
        <w:t>1 тыс. рублей.</w:t>
      </w:r>
    </w:p>
    <w:p w14:paraId="F3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Анализ исполнения расходов в рамках муниципальных программ приведен в пункте 3.1 настоящего Заключения, анализ непрограммных расходов – в пункте 3.2.</w:t>
      </w:r>
    </w:p>
    <w:p w14:paraId="F4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  <w:shd w:fill="FFD821" w:val="clear"/>
        </w:rPr>
      </w:pPr>
      <w:r>
        <w:rPr>
          <w:rFonts w:ascii="Times New Roman" w:hAnsi="Times New Roman"/>
          <w:b w:val="0"/>
          <w:sz w:val="28"/>
        </w:rPr>
        <w:t xml:space="preserve">Согласно </w:t>
      </w:r>
      <w:r>
        <w:rPr>
          <w:rFonts w:ascii="Times New Roman" w:hAnsi="Times New Roman"/>
          <w:b w:val="1"/>
          <w:i w:val="0"/>
          <w:sz w:val="28"/>
        </w:rPr>
        <w:t>ведомственной структуре расходов</w:t>
      </w:r>
      <w:r>
        <w:rPr>
          <w:rFonts w:ascii="Times New Roman" w:hAnsi="Times New Roman"/>
          <w:b w:val="0"/>
          <w:sz w:val="28"/>
        </w:rPr>
        <w:t xml:space="preserve"> бюджета муниципального округа и бюджетной росписи на 01 января 2026 года, ассигнования на 2025 год утверждены 8 главным распорядителям бюджетных средств (ГРБС). </w:t>
      </w:r>
    </w:p>
    <w:p w14:paraId="F501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  <w:shd w:fill="FFD821" w:val="clear"/>
        </w:rPr>
      </w:pPr>
      <w:r>
        <w:rPr>
          <w:rFonts w:ascii="Times New Roman" w:hAnsi="Times New Roman"/>
          <w:b w:val="0"/>
          <w:sz w:val="28"/>
        </w:rPr>
        <w:t>Информация об исполнении расходов главными распорядителями бюджетных средств представлены в таблице 8:</w:t>
      </w:r>
    </w:p>
    <w:p w14:paraId="F6010000">
      <w:pPr>
        <w:pStyle w:val="Style_3"/>
        <w:spacing w:after="0" w:line="240" w:lineRule="auto"/>
        <w:ind w:firstLine="567" w:left="0"/>
        <w:jc w:val="right"/>
        <w:rPr>
          <w:rFonts w:ascii="Times New Roman" w:hAnsi="Times New Roman"/>
          <w:b w:val="0"/>
          <w:sz w:val="24"/>
        </w:rPr>
      </w:pPr>
    </w:p>
    <w:p w14:paraId="F7010000">
      <w:pPr>
        <w:pStyle w:val="Style_3"/>
        <w:spacing w:after="0" w:line="240" w:lineRule="auto"/>
        <w:ind w:firstLine="567" w:left="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Таблица 8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362"/>
        <w:gridCol w:w="747"/>
        <w:gridCol w:w="1393"/>
        <w:gridCol w:w="944"/>
        <w:gridCol w:w="1322"/>
        <w:gridCol w:w="1087"/>
        <w:gridCol w:w="1055"/>
      </w:tblGrid>
      <w:tr>
        <w:tc>
          <w:tcPr>
            <w:tcW w:type="dxa" w:w="336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</w:t>
            </w:r>
            <w:r>
              <w:rPr>
                <w:rFonts w:ascii="Times New Roman" w:hAnsi="Times New Roman"/>
                <w:sz w:val="22"/>
              </w:rPr>
              <w:t xml:space="preserve">лавный распорядитель </w:t>
            </w:r>
          </w:p>
          <w:p w14:paraId="F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бюджетных средств</w:t>
            </w:r>
          </w:p>
          <w:p w14:paraId="FA01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</w:t>
            </w:r>
          </w:p>
        </w:tc>
        <w:tc>
          <w:tcPr>
            <w:tcW w:type="dxa" w:w="7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код ведомства</w:t>
            </w:r>
          </w:p>
        </w:tc>
        <w:tc>
          <w:tcPr>
            <w:tcW w:type="dxa" w:w="233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уточненный план </w:t>
            </w:r>
          </w:p>
          <w:p w14:paraId="F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</w:t>
            </w:r>
            <w:r>
              <w:rPr>
                <w:rFonts w:ascii="Times New Roman" w:hAnsi="Times New Roman"/>
                <w:sz w:val="22"/>
              </w:rPr>
              <w:t xml:space="preserve"> год</w:t>
            </w:r>
          </w:p>
        </w:tc>
        <w:tc>
          <w:tcPr>
            <w:tcW w:type="dxa" w:w="240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исполнено </w:t>
            </w:r>
          </w:p>
          <w:p w14:paraId="F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</w:t>
            </w:r>
            <w:r>
              <w:rPr>
                <w:rFonts w:ascii="Times New Roman" w:hAnsi="Times New Roman"/>
                <w:sz w:val="22"/>
              </w:rPr>
              <w:t xml:space="preserve"> год</w:t>
            </w:r>
          </w:p>
        </w:tc>
        <w:tc>
          <w:tcPr>
            <w:tcW w:type="dxa" w:w="1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исполнение к плану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>
        <w:tc>
          <w:tcPr>
            <w:tcW w:type="dxa" w:w="336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тыс. рублей</w:t>
            </w:r>
          </w:p>
        </w:tc>
        <w:tc>
          <w:tcPr>
            <w:tcW w:type="dxa" w:w="9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доля, %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тыс.рублей</w:t>
            </w:r>
          </w:p>
        </w:tc>
        <w:tc>
          <w:tcPr>
            <w:tcW w:type="dxa" w:w="1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доля, %</w:t>
            </w:r>
          </w:p>
        </w:tc>
        <w:tc>
          <w:tcPr>
            <w:tcW w:type="dxa" w:w="1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</w:tr>
      <w:tr>
        <w:tc>
          <w:tcPr>
            <w:tcW w:type="dxa" w:w="3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Финансовое управление администрации Шарангского муниципального округа Нижегородской области</w:t>
            </w:r>
          </w:p>
        </w:tc>
        <w:tc>
          <w:tcPr>
            <w:tcW w:type="dxa" w:w="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001</w:t>
            </w:r>
          </w:p>
        </w:tc>
        <w:tc>
          <w:tcPr>
            <w:tcW w:type="dxa" w:w="1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17 698,2</w:t>
            </w:r>
          </w:p>
        </w:tc>
        <w:tc>
          <w:tcPr>
            <w:tcW w:type="dxa" w:w="9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1,4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17 648,2</w:t>
            </w:r>
          </w:p>
        </w:tc>
        <w:tc>
          <w:tcPr>
            <w:tcW w:type="dxa" w:w="1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1,4</w:t>
            </w:r>
          </w:p>
        </w:tc>
        <w:tc>
          <w:tcPr>
            <w:tcW w:type="dxa" w:w="1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99,7</w:t>
            </w:r>
          </w:p>
        </w:tc>
      </w:tr>
      <w:tr>
        <w:tc>
          <w:tcPr>
            <w:tcW w:type="dxa" w:w="3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культуры, туризма и народных художественных промыслов администрации Шарангского муниципального округа Нижегородской области</w:t>
            </w:r>
          </w:p>
        </w:tc>
        <w:tc>
          <w:tcPr>
            <w:tcW w:type="dxa" w:w="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057</w:t>
            </w:r>
          </w:p>
        </w:tc>
        <w:tc>
          <w:tcPr>
            <w:tcW w:type="dxa" w:w="1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126 063,8</w:t>
            </w:r>
          </w:p>
        </w:tc>
        <w:tc>
          <w:tcPr>
            <w:tcW w:type="dxa" w:w="9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9,7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118 632,2</w:t>
            </w:r>
          </w:p>
        </w:tc>
        <w:tc>
          <w:tcPr>
            <w:tcW w:type="dxa" w:w="1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9,7</w:t>
            </w:r>
          </w:p>
        </w:tc>
        <w:tc>
          <w:tcPr>
            <w:tcW w:type="dxa" w:w="1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94,1</w:t>
            </w:r>
          </w:p>
        </w:tc>
      </w:tr>
      <w:tr>
        <w:tc>
          <w:tcPr>
            <w:tcW w:type="dxa" w:w="3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Управление образования и молодежной политики администрации </w:t>
            </w:r>
            <w:r>
              <w:rPr>
                <w:rFonts w:ascii="Times New Roman" w:hAnsi="Times New Roman"/>
                <w:sz w:val="22"/>
              </w:rPr>
              <w:t>Шарангского муниципального округа Нижегородской области</w:t>
            </w:r>
          </w:p>
        </w:tc>
        <w:tc>
          <w:tcPr>
            <w:tcW w:type="dxa" w:w="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074</w:t>
            </w:r>
          </w:p>
        </w:tc>
        <w:tc>
          <w:tcPr>
            <w:tcW w:type="dxa" w:w="1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503 447,5</w:t>
            </w:r>
          </w:p>
        </w:tc>
        <w:tc>
          <w:tcPr>
            <w:tcW w:type="dxa" w:w="9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38,8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480 804,6</w:t>
            </w:r>
          </w:p>
        </w:tc>
        <w:tc>
          <w:tcPr>
            <w:tcW w:type="dxa" w:w="1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39,2</w:t>
            </w:r>
          </w:p>
        </w:tc>
        <w:tc>
          <w:tcPr>
            <w:tcW w:type="dxa" w:w="1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95,5</w:t>
            </w:r>
          </w:p>
        </w:tc>
      </w:tr>
      <w:tr>
        <w:trPr>
          <w:trHeight w:hRule="atLeast" w:val="238"/>
        </w:trPr>
        <w:tc>
          <w:tcPr>
            <w:tcW w:type="dxa" w:w="3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Управление сельского хозяйства администрации </w:t>
            </w:r>
            <w:r>
              <w:rPr>
                <w:rFonts w:ascii="Times New Roman" w:hAnsi="Times New Roman"/>
                <w:sz w:val="22"/>
              </w:rPr>
              <w:t>Шарангского муниципального округа Нижегородской области</w:t>
            </w:r>
          </w:p>
        </w:tc>
        <w:tc>
          <w:tcPr>
            <w:tcW w:type="dxa" w:w="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082</w:t>
            </w:r>
          </w:p>
        </w:tc>
        <w:tc>
          <w:tcPr>
            <w:tcW w:type="dxa" w:w="1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73 469,7</w:t>
            </w:r>
          </w:p>
        </w:tc>
        <w:tc>
          <w:tcPr>
            <w:tcW w:type="dxa" w:w="9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5,7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73 469,7</w:t>
            </w:r>
          </w:p>
        </w:tc>
        <w:tc>
          <w:tcPr>
            <w:tcW w:type="dxa" w:w="1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6,0</w:t>
            </w:r>
          </w:p>
        </w:tc>
        <w:tc>
          <w:tcPr>
            <w:tcW w:type="dxa" w:w="1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</w:tr>
      <w:tr>
        <w:tc>
          <w:tcPr>
            <w:tcW w:type="dxa" w:w="3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Контрольно-счетная комиссия Шарангского муниципального округа Нижегородской области</w:t>
            </w:r>
          </w:p>
        </w:tc>
        <w:tc>
          <w:tcPr>
            <w:tcW w:type="dxa" w:w="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305</w:t>
            </w:r>
          </w:p>
        </w:tc>
        <w:tc>
          <w:tcPr>
            <w:tcW w:type="dxa" w:w="1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1 954,9</w:t>
            </w:r>
          </w:p>
        </w:tc>
        <w:tc>
          <w:tcPr>
            <w:tcW w:type="dxa" w:w="9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0,2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1 940,1</w:t>
            </w:r>
          </w:p>
        </w:tc>
        <w:tc>
          <w:tcPr>
            <w:tcW w:type="dxa" w:w="1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0,2</w:t>
            </w:r>
          </w:p>
        </w:tc>
        <w:tc>
          <w:tcPr>
            <w:tcW w:type="dxa" w:w="1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99,2</w:t>
            </w:r>
          </w:p>
        </w:tc>
      </w:tr>
      <w:tr>
        <w:tc>
          <w:tcPr>
            <w:tcW w:type="dxa" w:w="3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Совет депутатов  </w:t>
            </w:r>
            <w:r>
              <w:rPr>
                <w:rFonts w:ascii="Times New Roman" w:hAnsi="Times New Roman"/>
                <w:sz w:val="22"/>
              </w:rPr>
              <w:t>Шарангского муниципального округа Нижегородской области</w:t>
            </w:r>
          </w:p>
        </w:tc>
        <w:tc>
          <w:tcPr>
            <w:tcW w:type="dxa" w:w="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333</w:t>
            </w:r>
          </w:p>
        </w:tc>
        <w:tc>
          <w:tcPr>
            <w:tcW w:type="dxa" w:w="1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748,1</w:t>
            </w:r>
          </w:p>
        </w:tc>
        <w:tc>
          <w:tcPr>
            <w:tcW w:type="dxa" w:w="9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0,1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703,8</w:t>
            </w:r>
          </w:p>
        </w:tc>
        <w:tc>
          <w:tcPr>
            <w:tcW w:type="dxa" w:w="1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0,1</w:t>
            </w:r>
          </w:p>
        </w:tc>
        <w:tc>
          <w:tcPr>
            <w:tcW w:type="dxa" w:w="1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94,1</w:t>
            </w:r>
          </w:p>
        </w:tc>
      </w:tr>
      <w:tr>
        <w:tc>
          <w:tcPr>
            <w:tcW w:type="dxa" w:w="3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Отдел по управлению муниципальным имуществом администрации </w:t>
            </w:r>
            <w:r>
              <w:rPr>
                <w:rFonts w:ascii="Times New Roman" w:hAnsi="Times New Roman"/>
                <w:sz w:val="22"/>
              </w:rPr>
              <w:t>Шарангского муниципального округа Нижегородской области</w:t>
            </w:r>
          </w:p>
        </w:tc>
        <w:tc>
          <w:tcPr>
            <w:tcW w:type="dxa" w:w="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366</w:t>
            </w:r>
          </w:p>
        </w:tc>
        <w:tc>
          <w:tcPr>
            <w:tcW w:type="dxa" w:w="1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4 660,4</w:t>
            </w:r>
          </w:p>
        </w:tc>
        <w:tc>
          <w:tcPr>
            <w:tcW w:type="dxa" w:w="9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0,4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4 619,2</w:t>
            </w:r>
          </w:p>
        </w:tc>
        <w:tc>
          <w:tcPr>
            <w:tcW w:type="dxa" w:w="1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0,4</w:t>
            </w:r>
          </w:p>
        </w:tc>
        <w:tc>
          <w:tcPr>
            <w:tcW w:type="dxa" w:w="1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99,1</w:t>
            </w:r>
          </w:p>
        </w:tc>
      </w:tr>
      <w:tr>
        <w:tc>
          <w:tcPr>
            <w:tcW w:type="dxa" w:w="3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Администрация </w:t>
            </w:r>
            <w:r>
              <w:rPr>
                <w:rFonts w:ascii="Times New Roman" w:hAnsi="Times New Roman"/>
                <w:sz w:val="22"/>
              </w:rPr>
              <w:t>Шарангского муниципального округа Нижегородской области</w:t>
            </w:r>
          </w:p>
        </w:tc>
        <w:tc>
          <w:tcPr>
            <w:tcW w:type="dxa" w:w="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487</w:t>
            </w:r>
          </w:p>
        </w:tc>
        <w:tc>
          <w:tcPr>
            <w:tcW w:type="dxa" w:w="1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569 943,6</w:t>
            </w:r>
          </w:p>
        </w:tc>
        <w:tc>
          <w:tcPr>
            <w:tcW w:type="dxa" w:w="9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43,9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528 169,7</w:t>
            </w:r>
          </w:p>
        </w:tc>
        <w:tc>
          <w:tcPr>
            <w:tcW w:type="dxa" w:w="1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43,1</w:t>
            </w:r>
          </w:p>
        </w:tc>
        <w:tc>
          <w:tcPr>
            <w:tcW w:type="dxa" w:w="1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92,7</w:t>
            </w:r>
          </w:p>
        </w:tc>
      </w:tr>
      <w:tr>
        <w:tc>
          <w:tcPr>
            <w:tcW w:type="dxa" w:w="3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Итого</w:t>
            </w:r>
          </w:p>
        </w:tc>
        <w:tc>
          <w:tcPr>
            <w:tcW w:type="dxa" w:w="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</w:tc>
        <w:tc>
          <w:tcPr>
            <w:tcW w:type="dxa" w:w="1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1 297 986,2</w:t>
            </w:r>
          </w:p>
        </w:tc>
        <w:tc>
          <w:tcPr>
            <w:tcW w:type="dxa" w:w="9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1 225 987,5</w:t>
            </w:r>
          </w:p>
        </w:tc>
        <w:tc>
          <w:tcPr>
            <w:tcW w:type="dxa" w:w="10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1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94,5</w:t>
            </w:r>
          </w:p>
        </w:tc>
      </w:tr>
    </w:tbl>
    <w:p w14:paraId="4502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4602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Наибольшую долю в общем объеме расходов бюджета муниципального округа в отчетном периоде составили расходы по администрации Шарангского муниципального округа -43,1% (528 169,7 тыс.рублей) и</w:t>
      </w:r>
      <w:r>
        <w:rPr>
          <w:rFonts w:ascii="Times New Roman" w:hAnsi="Times New Roman"/>
          <w:sz w:val="28"/>
        </w:rPr>
        <w:t xml:space="preserve"> управлению образования и молодежной политики - 39,2% (480 804,6 тыс. рублей)</w:t>
      </w:r>
      <w:r>
        <w:rPr>
          <w:rFonts w:ascii="Times New Roman" w:hAnsi="Times New Roman"/>
          <w:sz w:val="28"/>
        </w:rPr>
        <w:t>.</w:t>
      </w:r>
    </w:p>
    <w:p w14:paraId="4702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Исполнение расходов бюджета муниципального округа </w:t>
      </w:r>
      <w:r>
        <w:rPr>
          <w:rFonts w:ascii="Times New Roman" w:hAnsi="Times New Roman"/>
          <w:b w:val="1"/>
          <w:sz w:val="28"/>
        </w:rPr>
        <w:t>в разрезе разделов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классификации расходов</w:t>
      </w:r>
      <w:r>
        <w:rPr>
          <w:rFonts w:ascii="Times New Roman" w:hAnsi="Times New Roman"/>
          <w:sz w:val="28"/>
        </w:rPr>
        <w:t xml:space="preserve"> бюджета представлены в таблице 9:</w:t>
      </w:r>
    </w:p>
    <w:p w14:paraId="48020000">
      <w:pPr>
        <w:pStyle w:val="Style_3"/>
        <w:spacing w:after="0" w:line="240" w:lineRule="auto"/>
        <w:ind w:firstLine="567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9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842"/>
        <w:gridCol w:w="1386"/>
        <w:gridCol w:w="945"/>
        <w:gridCol w:w="1377"/>
        <w:gridCol w:w="1061"/>
        <w:gridCol w:w="1291"/>
      </w:tblGrid>
      <w:tr>
        <w:tc>
          <w:tcPr>
            <w:tcW w:type="dxa" w:w="38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аздел классификации </w:t>
            </w:r>
          </w:p>
          <w:p w14:paraId="4A02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расходов бюджета</w:t>
            </w:r>
          </w:p>
        </w:tc>
        <w:tc>
          <w:tcPr>
            <w:tcW w:type="dxa" w:w="233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уточненный план </w:t>
            </w:r>
          </w:p>
          <w:p w14:paraId="4C02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type="dxa" w:w="243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исполнено </w:t>
            </w:r>
          </w:p>
          <w:p w14:paraId="4E02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исполнение к плану </w:t>
            </w:r>
          </w:p>
        </w:tc>
      </w:tr>
      <w:tr>
        <w:tc>
          <w:tcPr>
            <w:tcW w:type="dxa" w:w="38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доля, %</w:t>
            </w:r>
          </w:p>
        </w:tc>
        <w:tc>
          <w:tcPr>
            <w:tcW w:type="dxa" w:w="13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тыс.рублей</w:t>
            </w:r>
          </w:p>
        </w:tc>
        <w:tc>
          <w:tcPr>
            <w:tcW w:type="dxa" w:w="1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доля, %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</w:tr>
      <w:tr>
        <w:tc>
          <w:tcPr>
            <w:tcW w:type="dxa" w:w="3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0100 «Общегосударственные вопросы»</w:t>
            </w:r>
          </w:p>
        </w:tc>
        <w:tc>
          <w:tcPr>
            <w:tcW w:type="dxa" w:w="1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102 462,1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7,9</w:t>
            </w:r>
          </w:p>
        </w:tc>
        <w:tc>
          <w:tcPr>
            <w:tcW w:type="dxa" w:w="13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98 774,2</w:t>
            </w:r>
          </w:p>
        </w:tc>
        <w:tc>
          <w:tcPr>
            <w:tcW w:type="dxa" w:w="1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8,1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96,4</w:t>
            </w:r>
          </w:p>
        </w:tc>
      </w:tr>
      <w:tr>
        <w:trPr>
          <w:trHeight w:hRule="atLeast" w:val="208"/>
        </w:trPr>
        <w:tc>
          <w:tcPr>
            <w:tcW w:type="dxa" w:w="3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0200 «Национальная оборона»</w:t>
            </w:r>
          </w:p>
        </w:tc>
        <w:tc>
          <w:tcPr>
            <w:tcW w:type="dxa" w:w="1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844,7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0,1</w:t>
            </w:r>
          </w:p>
        </w:tc>
        <w:tc>
          <w:tcPr>
            <w:tcW w:type="dxa" w:w="13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844,7</w:t>
            </w:r>
          </w:p>
        </w:tc>
        <w:tc>
          <w:tcPr>
            <w:tcW w:type="dxa" w:w="1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0,1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</w:tr>
      <w:tr>
        <w:tc>
          <w:tcPr>
            <w:tcW w:type="dxa" w:w="3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0300 «Национальная безопасность и правоохранительная деятельность»</w:t>
            </w:r>
          </w:p>
        </w:tc>
        <w:tc>
          <w:tcPr>
            <w:tcW w:type="dxa" w:w="1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18 489,6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1,4</w:t>
            </w:r>
          </w:p>
        </w:tc>
        <w:tc>
          <w:tcPr>
            <w:tcW w:type="dxa" w:w="13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17 964,4</w:t>
            </w:r>
          </w:p>
        </w:tc>
        <w:tc>
          <w:tcPr>
            <w:tcW w:type="dxa" w:w="1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1,5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97,2</w:t>
            </w:r>
          </w:p>
        </w:tc>
      </w:tr>
      <w:tr>
        <w:trPr>
          <w:trHeight w:hRule="atLeast" w:val="375"/>
        </w:trPr>
        <w:tc>
          <w:tcPr>
            <w:tcW w:type="dxa" w:w="3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0400 «Национальная экономика»</w:t>
            </w:r>
          </w:p>
        </w:tc>
        <w:tc>
          <w:tcPr>
            <w:tcW w:type="dxa" w:w="1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129 104,0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9,9</w:t>
            </w:r>
          </w:p>
        </w:tc>
        <w:tc>
          <w:tcPr>
            <w:tcW w:type="dxa" w:w="13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126 117,7</w:t>
            </w:r>
          </w:p>
        </w:tc>
        <w:tc>
          <w:tcPr>
            <w:tcW w:type="dxa" w:w="1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10,3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97,7</w:t>
            </w:r>
          </w:p>
        </w:tc>
      </w:tr>
      <w:tr>
        <w:tc>
          <w:tcPr>
            <w:tcW w:type="dxa" w:w="3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0500 «Жилищно-коммунальное хозяйство»</w:t>
            </w:r>
          </w:p>
        </w:tc>
        <w:tc>
          <w:tcPr>
            <w:tcW w:type="dxa" w:w="1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314 328,4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24,2</w:t>
            </w:r>
          </w:p>
        </w:tc>
        <w:tc>
          <w:tcPr>
            <w:tcW w:type="dxa" w:w="13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280 118,5</w:t>
            </w:r>
          </w:p>
        </w:tc>
        <w:tc>
          <w:tcPr>
            <w:tcW w:type="dxa" w:w="1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22,8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89,1</w:t>
            </w:r>
          </w:p>
        </w:tc>
      </w:tr>
      <w:tr>
        <w:tc>
          <w:tcPr>
            <w:tcW w:type="dxa" w:w="3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0700 «Образование»</w:t>
            </w:r>
          </w:p>
        </w:tc>
        <w:tc>
          <w:tcPr>
            <w:tcW w:type="dxa" w:w="1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515 657,8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39,7</w:t>
            </w:r>
          </w:p>
        </w:tc>
        <w:tc>
          <w:tcPr>
            <w:tcW w:type="dxa" w:w="13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493 173,3</w:t>
            </w:r>
          </w:p>
        </w:tc>
        <w:tc>
          <w:tcPr>
            <w:tcW w:type="dxa" w:w="1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40,2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95,6</w:t>
            </w:r>
          </w:p>
        </w:tc>
      </w:tr>
      <w:tr>
        <w:tc>
          <w:tcPr>
            <w:tcW w:type="dxa" w:w="3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0800 «Культура, кинематография»</w:t>
            </w:r>
          </w:p>
        </w:tc>
        <w:tc>
          <w:tcPr>
            <w:tcW w:type="dxa" w:w="1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111 428,9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8,6</w:t>
            </w:r>
          </w:p>
        </w:tc>
        <w:tc>
          <w:tcPr>
            <w:tcW w:type="dxa" w:w="13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104 843,8</w:t>
            </w:r>
          </w:p>
        </w:tc>
        <w:tc>
          <w:tcPr>
            <w:tcW w:type="dxa" w:w="1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8,6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94,1</w:t>
            </w:r>
          </w:p>
        </w:tc>
      </w:tr>
      <w:tr>
        <w:trPr>
          <w:trHeight w:hRule="atLeast" w:val="233"/>
        </w:trPr>
        <w:tc>
          <w:tcPr>
            <w:tcW w:type="dxa" w:w="3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 «Социальная политика»</w:t>
            </w:r>
          </w:p>
        </w:tc>
        <w:tc>
          <w:tcPr>
            <w:tcW w:type="dxa" w:w="1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26 512,9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2,0</w:t>
            </w:r>
          </w:p>
        </w:tc>
        <w:tc>
          <w:tcPr>
            <w:tcW w:type="dxa" w:w="13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25 412,8</w:t>
            </w:r>
          </w:p>
        </w:tc>
        <w:tc>
          <w:tcPr>
            <w:tcW w:type="dxa" w:w="1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2,1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95,9</w:t>
            </w:r>
          </w:p>
        </w:tc>
      </w:tr>
      <w:tr>
        <w:tc>
          <w:tcPr>
            <w:tcW w:type="dxa" w:w="3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«Физическая культура и спорт»</w:t>
            </w:r>
          </w:p>
        </w:tc>
        <w:tc>
          <w:tcPr>
            <w:tcW w:type="dxa" w:w="1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70 188,9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5,4</w:t>
            </w:r>
          </w:p>
        </w:tc>
        <w:tc>
          <w:tcPr>
            <w:tcW w:type="dxa" w:w="13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69 918,0</w:t>
            </w:r>
          </w:p>
        </w:tc>
        <w:tc>
          <w:tcPr>
            <w:tcW w:type="dxa" w:w="1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5,7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99,6</w:t>
            </w:r>
          </w:p>
        </w:tc>
      </w:tr>
      <w:tr>
        <w:tc>
          <w:tcPr>
            <w:tcW w:type="dxa" w:w="3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1200 «Средства массовой информации»</w:t>
            </w:r>
          </w:p>
        </w:tc>
        <w:tc>
          <w:tcPr>
            <w:tcW w:type="dxa" w:w="1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8 968,9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0,7</w:t>
            </w:r>
          </w:p>
        </w:tc>
        <w:tc>
          <w:tcPr>
            <w:tcW w:type="dxa" w:w="13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8 820,1</w:t>
            </w:r>
          </w:p>
        </w:tc>
        <w:tc>
          <w:tcPr>
            <w:tcW w:type="dxa" w:w="1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0,7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98,3</w:t>
            </w:r>
          </w:p>
        </w:tc>
      </w:tr>
      <w:tr>
        <w:tc>
          <w:tcPr>
            <w:tcW w:type="dxa" w:w="3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</w:t>
            </w:r>
          </w:p>
        </w:tc>
        <w:tc>
          <w:tcPr>
            <w:tcW w:type="dxa" w:w="1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1 297 986,2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type="dxa" w:w="13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1 225 987,5</w:t>
            </w:r>
          </w:p>
        </w:tc>
        <w:tc>
          <w:tcPr>
            <w:tcW w:type="dxa" w:w="1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94,5</w:t>
            </w:r>
          </w:p>
        </w:tc>
      </w:tr>
    </w:tbl>
    <w:p w14:paraId="9702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802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Наибольшую долю в общем объеме расходов бюджета муниципального округа в 2025 году составили расходы по разделам:</w:t>
      </w:r>
    </w:p>
    <w:p w14:paraId="9902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0700 «Образование» – 40,2% (493 173,3 тыс.рублей);</w:t>
      </w:r>
    </w:p>
    <w:p w14:paraId="9A02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0500 «Жилищно-коммунальное хозяйство» – 22,8% (280 118,5 тыс. рублей);</w:t>
      </w:r>
    </w:p>
    <w:p w14:paraId="9B02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0400 «Национальная экономика»-10,3% (126 117,7 тыс. рублей);</w:t>
      </w:r>
    </w:p>
    <w:p w14:paraId="9C02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0800 «Культура, кинематография» -8,6% (104 843,8 тыс. рублей).</w:t>
      </w:r>
    </w:p>
    <w:p w14:paraId="9D02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Менее 1,0% занимают расходы по каждому из следующих разделов классификации расходов бюджета муниципального округа:</w:t>
      </w:r>
    </w:p>
    <w:p w14:paraId="9E02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0200 «Национальная оборона» – 0,1% (844,7 тыс. рублей);</w:t>
      </w:r>
    </w:p>
    <w:p w14:paraId="9F02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1200 «Средства массовой информации» –0,7% (8 820,1 тыс. рублей).</w:t>
      </w:r>
    </w:p>
    <w:p w14:paraId="A002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 на социальную сферу (включая отрасли образования, культуры, социальной политики, физической культуры и спорта) в целом составили 56,6% к общему объему произведенных расходов бюджета или 693 347,9 тыс. рублей. Таким образом, социальная сфера остается основополагающим приоритетом расхода бюджета муниципального округа.</w:t>
      </w:r>
    </w:p>
    <w:p w14:paraId="A102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A202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3.1. Расходы в рамках муниципальных программ</w:t>
      </w:r>
    </w:p>
    <w:p w14:paraId="A302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A402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 Шарангского муниципального округа Нижегородской области от 14.10.2024 №636 «Об утверждении Реестра муниципальных программ и проектов муниципальных программ на 2025 год»</w:t>
      </w:r>
      <w:r>
        <w:rPr>
          <w:rFonts w:ascii="Times New Roman" w:hAnsi="Times New Roman"/>
          <w:sz w:val="28"/>
        </w:rPr>
        <w:t xml:space="preserve"> утвержден реестр муниципальных программ и проектов муниципальных программ </w:t>
      </w:r>
      <w:r>
        <w:rPr>
          <w:rFonts w:ascii="Times New Roman" w:hAnsi="Times New Roman"/>
          <w:sz w:val="28"/>
        </w:rPr>
        <w:t xml:space="preserve">на 2025 год, включающий в себя 24 муниципальные программы и 2 проекта муниципальных программ. </w:t>
      </w:r>
    </w:p>
    <w:p w14:paraId="A502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конец отчетного периода бюджетом муниципального округа предусмотрено финансирование 24 муниципальных программ с общей суммой бюджетных назначений 1 177 769,7 тыс. рублей.</w:t>
      </w:r>
    </w:p>
    <w:p w14:paraId="A602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двум муниципальным программам «Развитие предпринимательства в Шарангском муниципальном округе Нижегородской области» и «Обеспечение граждан Шарангского муниципального округа доступным и комфортным жильем на период 2024-2026 годов», включенным в Реестр муниципальных программ в 2025 году, финансирования не было.</w:t>
      </w:r>
    </w:p>
    <w:p w14:paraId="A702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об исполнении расходов бюджета муниципального округа в части муниципальных программ представлена в таблице 10:</w:t>
      </w:r>
    </w:p>
    <w:p w14:paraId="A8020000">
      <w:pPr>
        <w:pStyle w:val="Style_3"/>
        <w:spacing w:after="0" w:line="240" w:lineRule="auto"/>
        <w:ind w:firstLine="567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10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440"/>
        <w:gridCol w:w="1541"/>
        <w:gridCol w:w="1541"/>
        <w:gridCol w:w="1402"/>
      </w:tblGrid>
      <w:tr>
        <w:trPr>
          <w:trHeight w:hRule="atLeast" w:val="703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наименование  </w:t>
            </w:r>
          </w:p>
          <w:p w14:paraId="A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муниципальной программы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уточненный план,</w:t>
            </w:r>
          </w:p>
          <w:p w14:paraId="A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тыс. рублей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исполнение, тыс. рублей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исполнение к плану, </w:t>
            </w:r>
          </w:p>
          <w:p w14:paraId="A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%</w:t>
            </w:r>
          </w:p>
        </w:tc>
      </w:tr>
      <w:tr>
        <w:trPr>
          <w:trHeight w:hRule="atLeast" w:val="703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Профилактика преступлений и иных правонарушений в Шарангском муниципальном округе на 2021-2025 годы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73,0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41,0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56,2</w:t>
            </w:r>
          </w:p>
        </w:tc>
      </w:tr>
      <w:tr>
        <w:trPr>
          <w:trHeight w:hRule="atLeast" w:val="703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Укрепление общественного здоровья населения Шарангского муниципального округа Нижегородской области на 2025-2027 годы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</w:tr>
      <w:tr>
        <w:trPr>
          <w:trHeight w:hRule="atLeast" w:val="571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Противодействие коррупции в Шарангском муниципальном округе на 2021-2025 годы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</w:tr>
      <w:tr>
        <w:trPr>
          <w:trHeight w:hRule="atLeast" w:val="469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Развитие транспортной системы в Шарангском муниципальном округе Нижегородской области в 2021-2025 годы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52 907,1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50 134,4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94,8</w:t>
            </w:r>
          </w:p>
        </w:tc>
      </w:tr>
      <w:tr>
        <w:trPr>
          <w:trHeight w:hRule="atLeast" w:val="457"/>
          <w:hidden w:val="0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Информационная среда в Шарангском муниципальном округе на 2025-2027 годы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8 968,9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8 820,1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98,3</w:t>
            </w:r>
          </w:p>
        </w:tc>
      </w:tr>
      <w:tr>
        <w:trPr>
          <w:trHeight w:hRule="atLeast" w:val="524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Шарангского муниципального округа на 2021 – 2025 годы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18 815,6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18 284,4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97,2</w:t>
            </w:r>
          </w:p>
        </w:tc>
      </w:tr>
      <w:tr>
        <w:trPr>
          <w:trHeight w:hRule="atLeast" w:val="703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Поэтапная ликвидация до 2025 года накопившейся задолженности по обеспечению жилыми помещениями детей-сирот, детей, оставшихся без попечения родителей, лиц из их числа включенных в список нуждающихся, на 1 января 2020 года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14 884,6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14 884,6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</w:tr>
      <w:tr>
        <w:trPr>
          <w:trHeight w:hRule="atLeast" w:val="703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Социальная поддержка граждан в Шарангском муниципальном округе Нижегородской области на 2021-2025 годы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348,6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324,3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93,0</w:t>
            </w:r>
          </w:p>
        </w:tc>
      </w:tr>
      <w:tr>
        <w:trPr>
          <w:trHeight w:hRule="atLeast" w:val="493"/>
          <w:hidden w:val="0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Развитие агропромышленного комплекса Шарангского муниципального округа Нижегородской области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73 694,1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73 623,9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99,9</w:t>
            </w:r>
          </w:p>
        </w:tc>
      </w:tr>
      <w:tr>
        <w:trPr>
          <w:trHeight w:hRule="atLeast" w:val="493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Противодействие терроризму и профилактика экстремизма в Шарангском муниципальном округе на 2024-2026 годы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6 983,7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6 969,1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99,8</w:t>
            </w:r>
          </w:p>
        </w:tc>
      </w:tr>
      <w:tr>
        <w:trPr>
          <w:trHeight w:hRule="atLeast" w:val="580"/>
          <w:hidden w:val="0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Развитие культуры Шарангского муниципального округа на 2021-2025 годы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126 009,1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118 577,4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94,1</w:t>
            </w:r>
          </w:p>
        </w:tc>
      </w:tr>
      <w:tr>
        <w:trPr>
          <w:trHeight w:hRule="atLeast" w:val="487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Управление муниципальными финансами Шарангского муниципального округа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18 715,9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18 666,0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99,7</w:t>
            </w:r>
          </w:p>
        </w:tc>
      </w:tr>
      <w:tr>
        <w:trPr>
          <w:trHeight w:hRule="atLeast" w:val="569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Развитие физической культуры и спорта Шарангского муниципального округа на 2025 - 2029 годы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70 181,4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69 910,5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99,6</w:t>
            </w:r>
          </w:p>
        </w:tc>
      </w:tr>
      <w:tr>
        <w:trPr>
          <w:trHeight w:hRule="atLeast" w:val="531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Развитие образования Шарангского муниципального округа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492 075,2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472 317,7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96,0</w:t>
            </w:r>
          </w:p>
        </w:tc>
      </w:tr>
      <w:tr>
        <w:trPr>
          <w:trHeight w:hRule="atLeast" w:val="441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Экология Шарангского муниципального округа на 2021 - 2025 годы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27 007,6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359,7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1,3</w:t>
            </w:r>
          </w:p>
        </w:tc>
      </w:tr>
      <w:tr>
        <w:trPr>
          <w:trHeight w:hRule="atLeast" w:val="437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Профилактика безнадзорности и правонарушений несовершеннолетних на территории Шарангского муниципального округа на 2024-2026 годы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47,0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47,0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</w:tr>
      <w:tr>
        <w:trPr>
          <w:trHeight w:hRule="atLeast" w:val="703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Энергосбережение и повышение энергетической эффективности на территории Шарангского муниципального округа Нижегородской области на 2024-2028 годы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2 008,5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1 898,8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94,5</w:t>
            </w:r>
          </w:p>
        </w:tc>
      </w:tr>
      <w:tr>
        <w:trPr>
          <w:trHeight w:hRule="atLeast" w:val="703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Переселение граждан из аварийного жилищного фонда на территории Шарангского муниципального округа Нижегородской области на 2024 - 2028 годы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7 173,1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7 173,1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</w:tr>
      <w:tr>
        <w:trPr>
          <w:trHeight w:hRule="atLeast" w:val="703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Управление муниципальным имуществом Шарангского муниципального округа Нижегородской области на 2021-2025 годы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4 274,3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4 248,7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99,4</w:t>
            </w:r>
          </w:p>
        </w:tc>
      </w:tr>
      <w:tr>
        <w:trPr>
          <w:trHeight w:hRule="atLeast" w:val="703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2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Инвестиционная программа Шарангского муниципального округа Нижегородской области на 2024-2026 годы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194 270,2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186 652,8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96,1</w:t>
            </w:r>
          </w:p>
        </w:tc>
      </w:tr>
      <w:tr>
        <w:trPr>
          <w:trHeight w:hRule="atLeast" w:val="703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3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Снос расселенных многоквартирных жилых домов в Шарангском муниципальном округе Нижегородской области, признанных аварийными в период 1 января 2017г. до 1 января 2022 г»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24,0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24,0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</w:tr>
      <w:tr>
        <w:trPr>
          <w:trHeight w:hRule="atLeast" w:val="703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3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Предоставление гражданам, утратившим жилые помещения в результате пожара, жилых помещений по договорам социального найма на период 2023-2025 годы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1 606,5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1 606,5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</w:tr>
      <w:tr>
        <w:trPr>
          <w:trHeight w:hRule="atLeast" w:val="703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3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Формирование комфортной городской среды на территории Шарангского муниципального округа Нижегородской области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7 956,1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7 947,0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99,9</w:t>
            </w:r>
          </w:p>
        </w:tc>
      </w:tr>
      <w:tr>
        <w:trPr>
          <w:trHeight w:hRule="atLeast" w:val="273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3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Благоустройство территории Шарангского муниципального округа Нижегородской области на период 2025-2030гг.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49 725,2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48 517,1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97,6</w:t>
            </w:r>
          </w:p>
        </w:tc>
      </w:tr>
      <w:t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Итого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1 177 769,7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1 111 048,1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94,3</w:t>
            </w:r>
          </w:p>
        </w:tc>
      </w:tr>
    </w:tbl>
    <w:p w14:paraId="14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5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 по муниципальным программам исполнены в сумме 1 111 048,1 тыс. рублей или 94,3% от годовых плановых назначений (1 177 769,7 тыс.рублей).</w:t>
      </w:r>
    </w:p>
    <w:p w14:paraId="16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Среднее исполнение расходов по муниципальным программам -92,4%.</w:t>
      </w:r>
    </w:p>
    <w:p w14:paraId="17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расходов по муниципальным программам в общей сумме расходов муниципального бюджета составляет по плану-90,7%, по кассовому исполнению - 90,6%.</w:t>
      </w:r>
    </w:p>
    <w:p w14:paraId="18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структуре кассовых расходов наибольшие объемы финансового обеспечения приходятся на муниципальную программу «Развитие образования Шарангского муниципального округа» –42,5% или 472 317,7 тыс. рублей от общих расходов на реализацию муниципальных программ (1 111 048,1 тыс. рублей).</w:t>
      </w:r>
    </w:p>
    <w:p w14:paraId="19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 году муниципальные программы исполнялись следующим образом:</w:t>
      </w:r>
    </w:p>
    <w:p w14:paraId="1A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 объеме годовых бюджетных назначений исполнены 7 муниципальных программ с общей суммой кассовых расходов 23 755,2 тыс. рублей, что составляет 2,1% от общей суммы исполнения по муниципальным программам;</w:t>
      </w:r>
    </w:p>
    <w:p w14:paraId="1B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-выше среднего уровня исполнения расходов по муниципальным программам (от 93,0% до 99,9%) исполнены 15 муниципальных программ с общей суммой кассовых расходов 1 086 892,2 тыс. рублей (97,8% от общей суммы исполнения по муниципальным программам);</w:t>
      </w:r>
    </w:p>
    <w:p w14:paraId="1C030000">
      <w:pPr>
        <w:pStyle w:val="Style_3"/>
        <w:numPr>
          <w:numId w:val="8"/>
        </w:numPr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ниже среднего уровня исполнения расходов по муниципальным программам (от 1,3% до 56,2%) исполнены 2 муниципальные программы с общей суммой кассовых расходов 400,7 тыс. рублей (менее 0,1% от общей суммы исполнения по муниципальным программам).</w:t>
      </w:r>
    </w:p>
    <w:p w14:paraId="1D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частью 3 статьи 179 Бюджетного кодекса РФ по каждой муниципальной программе ежегодно проводится оценка эффективности ее реализации.</w:t>
      </w:r>
    </w:p>
    <w:p w14:paraId="1E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Порядка разработки, реализации и оценки эффективности муниципальных программ в Шарангском муниципальном округе, утвержденного постановлением администрации Шарангского муниципального округа от 28.07.2023г. №520, отдел экономического развития готовит сводный отчет об итоговой оценке эффективности муниципальных программ Шарангского муниципального округа Нижегородской области.</w:t>
      </w:r>
    </w:p>
    <w:p w14:paraId="1F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информации отдела экономического развития:</w:t>
      </w:r>
    </w:p>
    <w:p w14:paraId="20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высокой степенью эффективности было признано 20 муниципальных программ, что составляет 77,0% от общего числа муниципальных программ;</w:t>
      </w:r>
    </w:p>
    <w:p w14:paraId="21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 средней степенью эффективность признана 1 муниципальная программа (3,8%);</w:t>
      </w:r>
    </w:p>
    <w:p w14:paraId="22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удовлетворительной степенью эффективности -1 муниципальная программа (3,8%);</w:t>
      </w:r>
    </w:p>
    <w:p w14:paraId="23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неудовлетворительной степенью эффективности – 2 муниципальные программы (7,7%);</w:t>
      </w:r>
    </w:p>
    <w:p w14:paraId="24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финансирования по двум муниципальным программам не было (7,7%).</w:t>
      </w:r>
    </w:p>
    <w:p w14:paraId="25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исполнения расходов бюджета муниципального округа по муниципальным программам показал следующее:</w:t>
      </w:r>
    </w:p>
    <w:p w14:paraId="26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Муниципальная программа «Развитие образования Шарангского муниципального округа», </w:t>
      </w:r>
      <w:r>
        <w:rPr>
          <w:rFonts w:ascii="Times New Roman" w:hAnsi="Times New Roman"/>
          <w:b w:val="0"/>
          <w:sz w:val="28"/>
        </w:rPr>
        <w:t>расходы исполнены в сумме 472 317,7 тыс.рублей или 96,0% от уточненного годового плана (492 075,2 тыс. рублей), что выше, чем в среднем исполнение расходов по муниципальным программам (92,4%).</w:t>
      </w:r>
    </w:p>
    <w:p w14:paraId="27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Доля расходов по муниципальной программе в общей сумме расходов бюджета муниципального округа составляет по плану – 37,9%, по кассовому исполнению – 38,5%.</w:t>
      </w:r>
    </w:p>
    <w:p w14:paraId="28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Исполнение расходов осуществлялось 1 ГРБС – управлением образования и молодежной политики администрации Шарангского муниципального округа.</w:t>
      </w:r>
    </w:p>
    <w:p w14:paraId="29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Информация о структуре финансирования программ в рамках муниципальной программы и кассовом исполнении представлена в таблице 11:</w:t>
      </w:r>
    </w:p>
    <w:p w14:paraId="2A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2B030000">
      <w:pPr>
        <w:pStyle w:val="Style_3"/>
        <w:spacing w:after="0" w:line="240" w:lineRule="auto"/>
        <w:ind w:firstLine="567" w:left="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Таблица 11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98"/>
        <w:gridCol w:w="1211"/>
        <w:gridCol w:w="989"/>
        <w:gridCol w:w="1291"/>
        <w:gridCol w:w="931"/>
        <w:gridCol w:w="1504"/>
      </w:tblGrid>
      <w:tr>
        <w:trPr>
          <w:trHeight w:hRule="atLeast" w:val="489"/>
        </w:trPr>
        <w:tc>
          <w:tcPr>
            <w:tcW w:type="dxa" w:w="39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подпрограммы</w:t>
            </w:r>
          </w:p>
        </w:tc>
        <w:tc>
          <w:tcPr>
            <w:tcW w:type="dxa" w:w="220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Уточненный план</w:t>
            </w:r>
          </w:p>
        </w:tc>
        <w:tc>
          <w:tcPr>
            <w:tcW w:type="dxa" w:w="222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Исполнение</w:t>
            </w:r>
          </w:p>
        </w:tc>
        <w:tc>
          <w:tcPr>
            <w:tcW w:type="dxa" w:w="150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 исполнения к годовым назначениям</w:t>
            </w:r>
          </w:p>
        </w:tc>
      </w:tr>
      <w:tr>
        <w:trPr>
          <w:trHeight w:hRule="atLeast" w:val="477"/>
        </w:trPr>
        <w:tc>
          <w:tcPr>
            <w:tcW w:type="dxa" w:w="39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тыс. рублей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доля, %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тыс. рублей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доля, %</w:t>
            </w:r>
          </w:p>
        </w:tc>
        <w:tc>
          <w:tcPr>
            <w:tcW w:type="dxa" w:w="150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77"/>
        </w:trP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Подпрограмма 1 </w:t>
            </w:r>
            <w:r>
              <w:rPr>
                <w:rFonts w:ascii="Times New Roman" w:hAnsi="Times New Roman"/>
                <w:sz w:val="22"/>
              </w:rPr>
              <w:t>"Развитие общего образования"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406 770,5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82,7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391 539,8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82,9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96,3</w:t>
            </w:r>
          </w:p>
        </w:tc>
      </w:tr>
      <w:tr>
        <w:trPr>
          <w:trHeight w:hRule="atLeast" w:val="477"/>
        </w:trP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Подпрограмма 2 </w:t>
            </w:r>
            <w:r>
              <w:rPr>
                <w:rFonts w:ascii="Times New Roman" w:hAnsi="Times New Roman"/>
                <w:sz w:val="22"/>
              </w:rPr>
              <w:t>"Развитие дополнительного образования и воспитания детей и молодежи"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22 296,3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4,5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20 327,1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4,3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91,2</w:t>
            </w:r>
          </w:p>
        </w:tc>
      </w:tr>
      <w:tr>
        <w:trPr>
          <w:trHeight w:hRule="atLeast" w:val="477"/>
        </w:trP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Подпрограмма 4 </w:t>
            </w:r>
            <w:r>
              <w:rPr>
                <w:rFonts w:ascii="Times New Roman" w:hAnsi="Times New Roman"/>
                <w:sz w:val="22"/>
              </w:rPr>
              <w:t>«Патриотическое воспитание детей и молодежи»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1 831,9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0,4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1 828,4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0,4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99,8</w:t>
            </w:r>
          </w:p>
        </w:tc>
      </w:tr>
      <w:tr>
        <w:trPr>
          <w:trHeight w:hRule="atLeast" w:val="477"/>
        </w:trP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Подпрограмма 5 </w:t>
            </w:r>
            <w:r>
              <w:rPr>
                <w:rFonts w:ascii="Times New Roman" w:hAnsi="Times New Roman"/>
                <w:sz w:val="22"/>
              </w:rPr>
              <w:t>"Ресурсное обеспечение сферы образования "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26 173,7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5,3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26 033,2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5,5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99,5</w:t>
            </w:r>
          </w:p>
        </w:tc>
      </w:tr>
      <w:tr>
        <w:trPr>
          <w:trHeight w:hRule="atLeast" w:val="477"/>
        </w:trP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</w:t>
            </w:r>
            <w:r>
              <w:rPr>
                <w:rFonts w:ascii="Times New Roman" w:hAnsi="Times New Roman"/>
                <w:sz w:val="22"/>
              </w:rPr>
              <w:t xml:space="preserve"> 6 </w:t>
            </w:r>
            <w:r>
              <w:rPr>
                <w:rFonts w:ascii="Times New Roman" w:hAnsi="Times New Roman"/>
                <w:sz w:val="22"/>
              </w:rPr>
              <w:t>«Социально-правовая защита детей »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10 490,3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2,1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9 113,2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1,9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86,9</w:t>
            </w:r>
          </w:p>
        </w:tc>
      </w:tr>
      <w:tr>
        <w:trPr>
          <w:trHeight w:hRule="atLeast" w:val="477"/>
        </w:trP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Подпрограмма 7 </w:t>
            </w:r>
            <w:r>
              <w:rPr>
                <w:rFonts w:ascii="Times New Roman" w:hAnsi="Times New Roman"/>
                <w:sz w:val="22"/>
              </w:rPr>
              <w:t>«Развитие молодежной политики»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31,3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0,1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28,2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0,1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90,1</w:t>
            </w:r>
          </w:p>
        </w:tc>
      </w:tr>
      <w:tr>
        <w:trPr>
          <w:trHeight w:hRule="atLeast" w:val="477"/>
        </w:trP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8 «Обеспечение реализации муниципальной программы»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24 481,1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5,0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23 447,6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5,8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95,8</w:t>
            </w:r>
          </w:p>
        </w:tc>
      </w:tr>
      <w:tr>
        <w:trPr>
          <w:trHeight w:hRule="atLeast" w:val="477"/>
        </w:trP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Итого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492 075,2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472 317,7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96,0</w:t>
            </w:r>
          </w:p>
        </w:tc>
      </w:tr>
    </w:tbl>
    <w:p w14:paraId="64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65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Основную часть расходов данной программы составляют субсидии бюджетным учреждениям на финансовое обеспечение муниципального задания и субсидии на иные цели – 446 333,3 тыс.рублей (96,2% от уточненного годового плана 463 962,6 тыс.рублей) или 94,5% от общей суммы расходов по муниципальной программе.</w:t>
      </w:r>
    </w:p>
    <w:p w14:paraId="66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Ниже среднего уровня исполнения расходов по муниципальным программам (92,4%) отмечается исполнение по подпрограммам:</w:t>
      </w:r>
    </w:p>
    <w:p w14:paraId="67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«Развитие дополнительного образования и воспитания детей и молодежи» (уточненный годовой план 22 296,3 тыс. рублей, исполнение 20 327,1 тыс. рублей или 91,2%), расходы произведены в пределах лимитов бюджетных обязательств;</w:t>
      </w:r>
    </w:p>
    <w:p w14:paraId="68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-«Социально-правовая защита детей»</w:t>
      </w:r>
      <w:r>
        <w:rPr>
          <w:rFonts w:ascii="Times New Roman" w:hAnsi="Times New Roman"/>
          <w:sz w:val="28"/>
        </w:rPr>
        <w:t xml:space="preserve"> (уточненный годовой план 10 490,3 тыс. рублей, исполнение 9 113,2 тыс. рублей или 86,9%), в связи с отсутствием потребности в неполном объеме освоены средства областного бюджета;</w:t>
      </w:r>
    </w:p>
    <w:p w14:paraId="69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-«Развитие молодежной политики» </w:t>
      </w:r>
      <w:r>
        <w:rPr>
          <w:rFonts w:ascii="Times New Roman" w:hAnsi="Times New Roman"/>
          <w:sz w:val="28"/>
        </w:rPr>
        <w:t xml:space="preserve">(уточненный годовой план 31,3 тыс. рублей, исполнение 28,2 тыс. рублей или </w:t>
      </w:r>
      <w:r>
        <w:rPr>
          <w:rFonts w:ascii="Times New Roman" w:hAnsi="Times New Roman"/>
          <w:sz w:val="28"/>
        </w:rPr>
        <w:t>90,1%), р</w:t>
      </w:r>
      <w:r>
        <w:rPr>
          <w:rFonts w:ascii="Times New Roman" w:hAnsi="Times New Roman"/>
          <w:sz w:val="28"/>
        </w:rPr>
        <w:t>асходы произведены в пределах лимитов бюджетных обязательств.</w:t>
      </w:r>
    </w:p>
    <w:p w14:paraId="6A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данной программе присвоена высокая оценка эффективности ее реализации.</w:t>
      </w:r>
    </w:p>
    <w:p w14:paraId="6B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Муниципальная программа «Инвестиционная программа Шарангского муниципального округа Нижегородской области на 2024 -2026 годы», </w:t>
      </w:r>
      <w:r>
        <w:rPr>
          <w:rFonts w:ascii="Times New Roman" w:hAnsi="Times New Roman"/>
          <w:b w:val="0"/>
          <w:sz w:val="28"/>
        </w:rPr>
        <w:t>расходы</w:t>
      </w:r>
      <w:r>
        <w:rPr>
          <w:rFonts w:ascii="Times New Roman" w:hAnsi="Times New Roman"/>
          <w:b w:val="0"/>
          <w:sz w:val="28"/>
        </w:rPr>
        <w:t xml:space="preserve"> исполнены в сумме 186 652,8 тыс. рублей или 96,1% от уточненного годового плана (194 270,2 тыс. рублей), </w:t>
      </w:r>
      <w:r>
        <w:rPr>
          <w:rFonts w:ascii="Times New Roman" w:hAnsi="Times New Roman"/>
          <w:b w:val="0"/>
          <w:sz w:val="28"/>
        </w:rPr>
        <w:t>что выше, чем в среднем исполнение расходов по муниципальным программам (92,4%)</w:t>
      </w:r>
      <w:r>
        <w:rPr>
          <w:rFonts w:ascii="Times New Roman" w:hAnsi="Times New Roman"/>
          <w:b w:val="0"/>
          <w:sz w:val="28"/>
        </w:rPr>
        <w:t>.</w:t>
      </w:r>
    </w:p>
    <w:p w14:paraId="6C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Доля расходов по муниципальной программе в общей сумме расходов бюджета муниципального округа составляет по плану - 15,0%, по кассовому исполнению -15,2%.</w:t>
      </w:r>
    </w:p>
    <w:p w14:paraId="6D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Исполнение расходов осуществлялось 2 ГРБС:</w:t>
      </w:r>
    </w:p>
    <w:p w14:paraId="6E030000">
      <w:pPr>
        <w:pStyle w:val="Style_3"/>
        <w:numPr>
          <w:numId w:val="9"/>
        </w:numPr>
        <w:spacing w:line="24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администрацией Шарангского муниципального округа –99,4% от кассовых расходов по муниципальной программе;</w:t>
      </w:r>
    </w:p>
    <w:p w14:paraId="6F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-управлением образования и молодежной политики администрации Шарангского муниципального окр</w:t>
      </w:r>
      <w:r>
        <w:rPr>
          <w:rFonts w:ascii="Times New Roman" w:hAnsi="Times New Roman"/>
          <w:b w:val="0"/>
          <w:sz w:val="28"/>
        </w:rPr>
        <w:t>уга –</w:t>
      </w:r>
      <w:r>
        <w:rPr>
          <w:rFonts w:ascii="Times New Roman" w:hAnsi="Times New Roman"/>
          <w:b w:val="0"/>
          <w:sz w:val="28"/>
        </w:rPr>
        <w:t xml:space="preserve"> 0,6%</w:t>
      </w:r>
      <w:r>
        <w:rPr>
          <w:rFonts w:ascii="Times New Roman" w:hAnsi="Times New Roman"/>
          <w:b w:val="0"/>
          <w:sz w:val="28"/>
        </w:rPr>
        <w:t xml:space="preserve"> от кассовых расходов по муниципальной программе.</w:t>
      </w:r>
    </w:p>
    <w:p w14:paraId="70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Основные мероприятия данной муниципальной программы:</w:t>
      </w:r>
    </w:p>
    <w:p w14:paraId="71030000">
      <w:pPr>
        <w:pStyle w:val="Style_3"/>
        <w:numPr>
          <w:numId w:val="10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реконструкция водопроводных сетей в р.п. Шаранга</w:t>
      </w:r>
      <w:r>
        <w:rPr>
          <w:rFonts w:ascii="Times New Roman" w:hAnsi="Times New Roman"/>
          <w:i w:val="0"/>
          <w:sz w:val="28"/>
        </w:rPr>
        <w:t xml:space="preserve"> Шарангского района Нижегородской области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sz w:val="28"/>
        </w:rPr>
        <w:t>в сумме 181 104,6 тыс. рублей</w:t>
      </w:r>
      <w:r>
        <w:rPr>
          <w:rFonts w:ascii="Times New Roman" w:hAnsi="Times New Roman"/>
          <w:b w:val="0"/>
          <w:sz w:val="28"/>
        </w:rPr>
        <w:t xml:space="preserve"> (100,0% от плановых назначений);</w:t>
      </w:r>
    </w:p>
    <w:p w14:paraId="72030000">
      <w:pPr>
        <w:pStyle w:val="Style_3"/>
        <w:numPr>
          <w:numId w:val="10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расходы на мероприятия по объекту «Строительство единого водозабора и водовода для водоснабжения в р.п. Шаранга Нижегородской области»</w:t>
      </w:r>
      <w:r>
        <w:rPr>
          <w:rFonts w:ascii="Times New Roman" w:hAnsi="Times New Roman"/>
          <w:sz w:val="28"/>
        </w:rPr>
        <w:t xml:space="preserve"> в сумме 32,3</w:t>
      </w:r>
      <w:r>
        <w:rPr>
          <w:rFonts w:ascii="Times New Roman" w:hAnsi="Times New Roman"/>
          <w:sz w:val="28"/>
        </w:rPr>
        <w:t xml:space="preserve"> тыс. рублей </w:t>
      </w:r>
      <w:r>
        <w:rPr>
          <w:rFonts w:ascii="Times New Roman" w:hAnsi="Times New Roman"/>
          <w:b w:val="0"/>
          <w:sz w:val="28"/>
        </w:rPr>
        <w:t>(100,0% от плановых назначений);</w:t>
      </w:r>
    </w:p>
    <w:p w14:paraId="73030000">
      <w:pPr>
        <w:pStyle w:val="Style_3"/>
        <w:numPr>
          <w:numId w:val="10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расходы на мероприятия </w:t>
      </w:r>
      <w:r>
        <w:rPr>
          <w:rFonts w:ascii="Times New Roman" w:hAnsi="Times New Roman"/>
          <w:sz w:val="28"/>
        </w:rPr>
        <w:t>по модернизации котельной детского сада р-н Шарангский, с. Кугланур, ул. Заречная, дом 22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сумму 1 194,0</w:t>
      </w:r>
      <w:r>
        <w:rPr>
          <w:rFonts w:ascii="Times New Roman" w:hAnsi="Times New Roman"/>
          <w:b w:val="0"/>
          <w:sz w:val="28"/>
        </w:rPr>
        <w:t xml:space="preserve"> тыс. рублей (29,6% от плановых назначений  4 038,8 тыс. рублей);</w:t>
      </w:r>
    </w:p>
    <w:p w14:paraId="74030000">
      <w:pPr>
        <w:pStyle w:val="Style_3"/>
        <w:numPr>
          <w:numId w:val="10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расходы на мероприятия по модернизации котельной №3 (администрация) р.п. Шаранга ул.Свободы,2 в сумме 2 168,4 тыс.рублей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(49,7% от плановых назначений 4 365,8 тыс.рублей);</w:t>
      </w:r>
    </w:p>
    <w:p w14:paraId="75030000">
      <w:pPr>
        <w:pStyle w:val="Style_3"/>
        <w:numPr>
          <w:numId w:val="10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расходы на мероприятия по модернизации котельной №4 (ср.школа) р.п. Шаранга ул.Ленина,33 в сумме 2 153,4 тыс.рублей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(49,7% от плановых назначений 4 335,5 тыс.рублей).</w:t>
      </w:r>
    </w:p>
    <w:p w14:paraId="76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данной программе присвоена высокая оценка эффективности ее реализации.</w:t>
      </w:r>
    </w:p>
    <w:p w14:paraId="77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Муниципальная программа «Развитие культуры Шарангского муниципального округа Нижегородской области на 2021-2025 годы», </w:t>
      </w:r>
      <w:r>
        <w:rPr>
          <w:rFonts w:ascii="Times New Roman" w:hAnsi="Times New Roman"/>
          <w:b w:val="0"/>
          <w:sz w:val="28"/>
        </w:rPr>
        <w:t xml:space="preserve">расходы исполнены в сумме 118 577,4 тыс. рублей или 94,1% от уточненного годового плана (126 009,1 тыс. рублей), </w:t>
      </w:r>
      <w:r>
        <w:rPr>
          <w:rFonts w:ascii="Times New Roman" w:hAnsi="Times New Roman"/>
          <w:b w:val="0"/>
          <w:sz w:val="28"/>
        </w:rPr>
        <w:t>что выше, чем в среднем исполнение расходов по муниципальным программам (92,4%).</w:t>
      </w:r>
    </w:p>
    <w:p w14:paraId="78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Удельный вес кассовых расходов по муниципальной программе в общей сумме расходов муниципального бюджета составляет по плану и по кассовому исполнению – 9,7%.</w:t>
      </w:r>
    </w:p>
    <w:p w14:paraId="79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Исполнение расходов осуществлялось 1 ГРБС – отделом культуры, туризма и народных художественных промыслов администрации Шарангского муниципального округа.</w:t>
      </w:r>
    </w:p>
    <w:p w14:paraId="7A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Информация о </w:t>
      </w:r>
      <w:r>
        <w:rPr>
          <w:rFonts w:ascii="Times New Roman" w:hAnsi="Times New Roman"/>
          <w:b w:val="0"/>
          <w:sz w:val="28"/>
        </w:rPr>
        <w:t>структуре финансирования</w:t>
      </w:r>
      <w:r>
        <w:rPr>
          <w:rFonts w:ascii="Times New Roman" w:hAnsi="Times New Roman"/>
          <w:b w:val="0"/>
          <w:sz w:val="28"/>
        </w:rPr>
        <w:t xml:space="preserve"> программ в рамках муниципальной программы и кассовом исполнении представлена в таблице 12:</w:t>
      </w:r>
    </w:p>
    <w:p w14:paraId="7B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7C030000">
      <w:pPr>
        <w:pStyle w:val="Style_3"/>
        <w:spacing w:after="0" w:line="240" w:lineRule="auto"/>
        <w:ind w:firstLine="567" w:left="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Таблица 12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98"/>
        <w:gridCol w:w="1211"/>
        <w:gridCol w:w="989"/>
        <w:gridCol w:w="1291"/>
        <w:gridCol w:w="931"/>
        <w:gridCol w:w="1504"/>
      </w:tblGrid>
      <w:tr>
        <w:tc>
          <w:tcPr>
            <w:tcW w:type="dxa" w:w="39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подпрограммы</w:t>
            </w:r>
          </w:p>
        </w:tc>
        <w:tc>
          <w:tcPr>
            <w:tcW w:type="dxa" w:w="220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Уточненный план</w:t>
            </w:r>
          </w:p>
        </w:tc>
        <w:tc>
          <w:tcPr>
            <w:tcW w:type="dxa" w:w="222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Исполнение</w:t>
            </w:r>
          </w:p>
        </w:tc>
        <w:tc>
          <w:tcPr>
            <w:tcW w:type="dxa" w:w="150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 исполнения к годовым назначениям</w:t>
            </w:r>
          </w:p>
        </w:tc>
      </w:tr>
      <w:tr>
        <w:trPr>
          <w:trHeight w:hRule="atLeast" w:val="809"/>
        </w:trPr>
        <w:tc>
          <w:tcPr>
            <w:tcW w:type="dxa" w:w="39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тыс. рублей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доля, %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тыс. рублей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доля, %</w:t>
            </w:r>
          </w:p>
        </w:tc>
        <w:tc>
          <w:tcPr>
            <w:tcW w:type="dxa" w:w="150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1  "Развитие библиотечно-информационного обслуживания населения"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24 076,6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19,1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23 318,2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19,7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96,8</w:t>
            </w:r>
          </w:p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2  "Организация культурно-массовых мероприятий"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23 899,4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19,0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21 130,0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17,8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88,4</w:t>
            </w:r>
          </w:p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3 "Организация культурно-массовых мероприятий в сельских учреждениях культуры"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33 103,0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26,3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31 673,9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26,7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95,7</w:t>
            </w:r>
          </w:p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4  "Развитие сферы музейной деятельности"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3 597,4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2,9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3 554,7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3,0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98,8</w:t>
            </w:r>
          </w:p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5 "Повышение качества и доступности услуг в сфере дополнительного образования"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14 617,6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11,6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13 770,9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11,6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94,2</w:t>
            </w:r>
          </w:p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6 "Обеспечение реализации муниципальной программы"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26 715,1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21,2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25 129,7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21,2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94,1</w:t>
            </w:r>
          </w:p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Итого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126 009,1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118 577,4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94,1</w:t>
            </w:r>
          </w:p>
        </w:tc>
      </w:tr>
    </w:tbl>
    <w:p w14:paraId="AF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B0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Основную часть расходов данной программы составляют субсидии бюджетным учреждениям на финансовое обеспечение муниципального задания и субсидии на иные цели –93 447,7 тыс.рублей (94,0% от уточненного годового плана) или 78,8 % от общей суммы расходов по муниципальной программе.</w:t>
      </w:r>
    </w:p>
    <w:p w14:paraId="B1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Ниже среднего уровня исполнения расходов по муниципальным программам (92,4%) отмечается исполнение по подпрограмме «Организация культурно-массовых мероприятий» (уточненный годовой план 23 899,4 тыс. рублей, исполнение 21 130,0 тыс. рублей или 88,4%)</w:t>
      </w:r>
      <w:r>
        <w:rPr>
          <w:rFonts w:ascii="Times New Roman" w:hAnsi="Times New Roman"/>
          <w:b w:val="0"/>
          <w:sz w:val="28"/>
        </w:rPr>
        <w:t>. Расходы произведены в пределах лимитов бюджетных обязательств.</w:t>
      </w:r>
    </w:p>
    <w:p w14:paraId="B2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да</w:t>
      </w:r>
      <w:r>
        <w:rPr>
          <w:rFonts w:ascii="Times New Roman" w:hAnsi="Times New Roman"/>
          <w:sz w:val="28"/>
        </w:rPr>
        <w:t>нной программе присвоена высокая оценка эффективности ее реализации.</w:t>
      </w:r>
    </w:p>
    <w:p w14:paraId="B3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Муниципальная программа «Развитие агропромышленного комплекса Шарангского муниципального округа Нижегородской области», </w:t>
      </w:r>
      <w:r>
        <w:rPr>
          <w:rFonts w:ascii="Times New Roman" w:hAnsi="Times New Roman"/>
          <w:b w:val="0"/>
          <w:sz w:val="28"/>
        </w:rPr>
        <w:t>расходы исполнены 73 623,9 тыс. рублей или 99,9% от уточненного годового плана         (73 694,1 тыс. рублей).</w:t>
      </w:r>
    </w:p>
    <w:p w14:paraId="B4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Доля расходов по муниципальной программе в общей сумме расходов бюджета муниципального округа составляет по плану-5,7%, по кассовому исполнению -6,0%.</w:t>
      </w:r>
    </w:p>
    <w:p w14:paraId="B5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Исполнение расходов осуществлялось 2 ГРБС:</w:t>
      </w:r>
    </w:p>
    <w:p w14:paraId="B6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– управлением сельского хозяйства администрации Шарангского муниципального округа – 99,7% от кассовых расходов по муниципальной программе;</w:t>
      </w:r>
    </w:p>
    <w:p w14:paraId="B7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-администрацией Шарангского муниципального округа – 0,3% от кассовых расходов по муниципальной программе.</w:t>
      </w:r>
    </w:p>
    <w:p w14:paraId="B8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Информация о </w:t>
      </w:r>
      <w:r>
        <w:rPr>
          <w:rFonts w:ascii="Times New Roman" w:hAnsi="Times New Roman"/>
          <w:b w:val="0"/>
          <w:sz w:val="28"/>
        </w:rPr>
        <w:t>структуре финансирования программ в рамках муниципальной программы и кассовом исполнении представлена в таблице 13:</w:t>
      </w:r>
    </w:p>
    <w:p w14:paraId="B9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BA030000">
      <w:pPr>
        <w:pStyle w:val="Style_3"/>
        <w:spacing w:after="0" w:line="240" w:lineRule="auto"/>
        <w:ind w:firstLine="567" w:left="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Таблица 13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98"/>
        <w:gridCol w:w="1211"/>
        <w:gridCol w:w="989"/>
        <w:gridCol w:w="1291"/>
        <w:gridCol w:w="931"/>
        <w:gridCol w:w="1504"/>
      </w:tblGrid>
      <w:tr>
        <w:tc>
          <w:tcPr>
            <w:tcW w:type="dxa" w:w="39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подпрограммы</w:t>
            </w:r>
          </w:p>
        </w:tc>
        <w:tc>
          <w:tcPr>
            <w:tcW w:type="dxa" w:w="220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Уточненный план</w:t>
            </w:r>
          </w:p>
        </w:tc>
        <w:tc>
          <w:tcPr>
            <w:tcW w:type="dxa" w:w="222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Исполнение</w:t>
            </w:r>
          </w:p>
        </w:tc>
        <w:tc>
          <w:tcPr>
            <w:tcW w:type="dxa" w:w="150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 исполнения к годовым назначениям</w:t>
            </w:r>
          </w:p>
        </w:tc>
      </w:tr>
      <w:tr>
        <w:tc>
          <w:tcPr>
            <w:tcW w:type="dxa" w:w="39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тыс. рублей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доля, %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тыс. рублей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доля, %</w:t>
            </w:r>
          </w:p>
        </w:tc>
        <w:tc>
          <w:tcPr>
            <w:tcW w:type="dxa" w:w="150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1 "Развитие сельского хозяйства, пищевой и перерабатывающей промышленности Шарангского муниципального района Нижегородской области" до 2025 года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64 067,1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86,9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63 996,9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786,9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99,9</w:t>
            </w:r>
          </w:p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4 "Обеспечение реализации муниципальной программы"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9 627,0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13,1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9 627,0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13,1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Итого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73 694,1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73 623,9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99,9</w:t>
            </w:r>
          </w:p>
        </w:tc>
      </w:tr>
    </w:tbl>
    <w:p w14:paraId="D5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Основные мероприятия данной муниципальной программы:</w:t>
      </w:r>
    </w:p>
    <w:p w14:paraId="D6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-развитие производства продукции растениеводства (субсидирование части затрат) – 20 657,1 тыс.рублей (100% от плановых назначений);</w:t>
      </w:r>
    </w:p>
    <w:p w14:paraId="D7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-развитие производства продукции животноводства (субсидирование части затрат) –</w:t>
      </w:r>
      <w:r>
        <w:rPr>
          <w:rFonts w:ascii="Times New Roman" w:hAnsi="Times New Roman"/>
          <w:b w:val="0"/>
          <w:sz w:val="28"/>
        </w:rPr>
        <w:t xml:space="preserve"> 39 634,4тыс. рублей</w:t>
      </w:r>
      <w:r>
        <w:rPr>
          <w:rFonts w:ascii="Times New Roman" w:hAnsi="Times New Roman"/>
          <w:sz w:val="28"/>
        </w:rPr>
        <w:t xml:space="preserve"> (100% от плановых назначений)</w:t>
      </w:r>
      <w:r>
        <w:rPr>
          <w:rFonts w:ascii="Times New Roman" w:hAnsi="Times New Roman"/>
          <w:b w:val="0"/>
          <w:sz w:val="28"/>
        </w:rPr>
        <w:t>;</w:t>
      </w:r>
    </w:p>
    <w:p w14:paraId="D8030000">
      <w:pPr>
        <w:pStyle w:val="Style_3"/>
        <w:numPr>
          <w:numId w:val="11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обновление парка сельскохозяйственной техники (субсидирование части затрат) </w:t>
      </w:r>
      <w:r>
        <w:rPr>
          <w:rFonts w:ascii="Times New Roman" w:hAnsi="Times New Roman"/>
          <w:b w:val="0"/>
          <w:sz w:val="28"/>
        </w:rPr>
        <w:t>–</w:t>
      </w:r>
      <w:r>
        <w:rPr>
          <w:rFonts w:ascii="Times New Roman" w:hAnsi="Times New Roman"/>
          <w:b w:val="0"/>
          <w:sz w:val="28"/>
        </w:rPr>
        <w:t xml:space="preserve"> 2 885,7 тыс.рублей (100,0% от плановых назначений);</w:t>
      </w:r>
    </w:p>
    <w:p w14:paraId="D9030000">
      <w:pPr>
        <w:pStyle w:val="Style_3"/>
        <w:numPr>
          <w:numId w:val="11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редоставление услуг в области растениеводства по ликвидации и предотвращению распространения сорного растения борщевика Сосновского (обработка пестицидами </w:t>
      </w:r>
      <w:r>
        <w:rPr>
          <w:rFonts w:ascii="Times New Roman" w:hAnsi="Times New Roman"/>
          <w:sz w:val="28"/>
        </w:rPr>
        <w:t>земельных участков заросших борщевиком Сосновского) – 190,0 тыс.рублей</w:t>
      </w:r>
      <w:r>
        <w:rPr>
          <w:rFonts w:ascii="Times New Roman" w:hAnsi="Times New Roman"/>
          <w:sz w:val="28"/>
        </w:rPr>
        <w:t xml:space="preserve"> (73% от плановых назначений);</w:t>
      </w:r>
    </w:p>
    <w:p w14:paraId="DA030000">
      <w:pPr>
        <w:pStyle w:val="Style_3"/>
        <w:numPr>
          <w:numId w:val="11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финансовая поддержка сельскохозяйственных предприятий Шарангского муниципального округа - 629,7 </w:t>
      </w:r>
      <w:r>
        <w:rPr>
          <w:rFonts w:ascii="Times New Roman" w:hAnsi="Times New Roman"/>
          <w:b w:val="0"/>
          <w:sz w:val="28"/>
        </w:rPr>
        <w:t>тыс.рублей (100,0% от плановых назначений)</w:t>
      </w:r>
      <w:r>
        <w:rPr>
          <w:rFonts w:ascii="Times New Roman" w:hAnsi="Times New Roman"/>
          <w:sz w:val="28"/>
        </w:rPr>
        <w:t>.</w:t>
      </w:r>
    </w:p>
    <w:p w14:paraId="DB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данной программе присвоена средняя оценка эффективности ее реализации.</w:t>
      </w:r>
    </w:p>
    <w:p w14:paraId="DC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Муниципальная программа «Развитие физической культуры и спорта Шарангского муниципального округа на 2025-2029 годы»,</w:t>
      </w:r>
      <w:r>
        <w:rPr>
          <w:rFonts w:ascii="Times New Roman" w:hAnsi="Times New Roman"/>
          <w:b w:val="0"/>
          <w:sz w:val="28"/>
        </w:rPr>
        <w:t xml:space="preserve"> расходы исполнены в сумме 69 910,5 тыс. рублей или 99,9% от уточненного годового плана (70 181,4 тыс. рублей), </w:t>
      </w:r>
      <w:r>
        <w:rPr>
          <w:rFonts w:ascii="Times New Roman" w:hAnsi="Times New Roman"/>
          <w:b w:val="0"/>
          <w:sz w:val="28"/>
        </w:rPr>
        <w:t>что выше, чем в среднем исполнение расходов по муниципальным программам (92,4%)</w:t>
      </w:r>
      <w:r>
        <w:rPr>
          <w:rFonts w:ascii="Times New Roman" w:hAnsi="Times New Roman"/>
          <w:b w:val="0"/>
          <w:sz w:val="28"/>
        </w:rPr>
        <w:t>.</w:t>
      </w:r>
    </w:p>
    <w:p w14:paraId="DD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Доля расходов по муниципальной программе в общей сумме расходов бюджета муниципального округа составляет по плану -5,4% по кассовому исполнению - 5,7%.</w:t>
      </w:r>
    </w:p>
    <w:p w14:paraId="DE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Исполнение расходов осуществлялось 1 ГРБС - </w:t>
      </w:r>
      <w:r>
        <w:rPr>
          <w:rFonts w:ascii="Times New Roman" w:hAnsi="Times New Roman"/>
          <w:b w:val="0"/>
          <w:sz w:val="28"/>
        </w:rPr>
        <w:t>администрацией Шарангского муниципального округа.</w:t>
      </w:r>
    </w:p>
    <w:p w14:paraId="DF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Информация о </w:t>
      </w:r>
      <w:r>
        <w:rPr>
          <w:rFonts w:ascii="Times New Roman" w:hAnsi="Times New Roman"/>
          <w:b w:val="0"/>
          <w:sz w:val="28"/>
        </w:rPr>
        <w:t>структуре финансирования программ в рамках муниципальной программы и кассовом исполнении представлена в таблице 14:</w:t>
      </w:r>
    </w:p>
    <w:p w14:paraId="E003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E1030000">
      <w:pPr>
        <w:pStyle w:val="Style_3"/>
        <w:spacing w:after="0" w:line="240" w:lineRule="auto"/>
        <w:ind w:firstLine="567" w:left="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Таблица 14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98"/>
        <w:gridCol w:w="1211"/>
        <w:gridCol w:w="989"/>
        <w:gridCol w:w="1291"/>
        <w:gridCol w:w="931"/>
        <w:gridCol w:w="1504"/>
      </w:tblGrid>
      <w:tr>
        <w:tc>
          <w:tcPr>
            <w:tcW w:type="dxa" w:w="39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подпрограммы</w:t>
            </w:r>
          </w:p>
        </w:tc>
        <w:tc>
          <w:tcPr>
            <w:tcW w:type="dxa" w:w="220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Уточненный план</w:t>
            </w:r>
          </w:p>
        </w:tc>
        <w:tc>
          <w:tcPr>
            <w:tcW w:type="dxa" w:w="222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Исполнение</w:t>
            </w:r>
          </w:p>
        </w:tc>
        <w:tc>
          <w:tcPr>
            <w:tcW w:type="dxa" w:w="150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 исполнения к годовым назначениям</w:t>
            </w:r>
          </w:p>
        </w:tc>
      </w:tr>
      <w:tr>
        <w:tc>
          <w:tcPr>
            <w:tcW w:type="dxa" w:w="39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тыс. рублей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доля, %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тыс. рублей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доля, %</w:t>
            </w:r>
          </w:p>
        </w:tc>
        <w:tc>
          <w:tcPr>
            <w:tcW w:type="dxa" w:w="150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1 "Развитие физической культуры и массового спорта"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68 409,1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97,4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68 239,5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97,5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99,8</w:t>
            </w:r>
          </w:p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2 "Развитие спорта высших достижений и системы подготовки спортивного резерва"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291,0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0,4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256,0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0,4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88,0</w:t>
            </w:r>
          </w:p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3 "Обеспечение реализации муниципальной программы"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1481,3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2,1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1 415,0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2,0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95,5</w:t>
            </w:r>
          </w:p>
        </w:tc>
      </w:tr>
      <w:tr>
        <w:trPr>
          <w:trHeight w:hRule="atLeast" w:val="202"/>
        </w:trP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Итого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70 181,4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69 910,5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99,6</w:t>
            </w:r>
          </w:p>
        </w:tc>
      </w:tr>
    </w:tbl>
    <w:p w14:paraId="02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03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Основную часть расходов данной муниципальной программы составляют субсидии подведомственным учреждениям на финансовое обеспечение выполнения муниципального задания и субсидии на иные цели -64 662,9 тыс.рублей (99,7% уточненного годового плана) или 92,5% в общей сумме расходов по муниципальной программе.</w:t>
      </w:r>
    </w:p>
    <w:p w14:paraId="04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Ниже среднего уровня исполнения расходов по муниципальным программам (62,4%) отмечается исполнение по подпрограмме «Развитие спорта высших достижений и системы подготовки спортивного резерва» (уточненный годовой план 291,0 тыс. рублей, исполнение 256,0 тыс. рублей или 88,0%)</w:t>
      </w:r>
      <w:r>
        <w:rPr>
          <w:rFonts w:ascii="Times New Roman" w:hAnsi="Times New Roman"/>
          <w:b w:val="0"/>
          <w:sz w:val="28"/>
        </w:rPr>
        <w:t xml:space="preserve">. </w:t>
      </w:r>
      <w:r>
        <w:rPr>
          <w:rFonts w:ascii="Times New Roman" w:hAnsi="Times New Roman"/>
          <w:b w:val="0"/>
          <w:sz w:val="28"/>
        </w:rPr>
        <w:t>Расходы произведены в пределах лимитов бюджетных обязательств.</w:t>
      </w:r>
    </w:p>
    <w:p w14:paraId="05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данной программе присвоена высокая оценка эффективности ее реализации.</w:t>
      </w:r>
    </w:p>
    <w:p w14:paraId="06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Муниципальная программа «Развитие транспортной системы в Шарангском муниципальном округе Нижегородской области в 2021-2025 годы», </w:t>
      </w:r>
      <w:r>
        <w:rPr>
          <w:rFonts w:ascii="Times New Roman" w:hAnsi="Times New Roman"/>
          <w:b w:val="0"/>
          <w:sz w:val="28"/>
        </w:rPr>
        <w:t xml:space="preserve">расходы исполнены в сумме 50 134,4 тыс.рублей или 94,8% от уточненного годового плана (52 907,1 тыс. рублей), </w:t>
      </w:r>
      <w:r>
        <w:rPr>
          <w:rFonts w:ascii="Times New Roman" w:hAnsi="Times New Roman"/>
          <w:b w:val="0"/>
          <w:sz w:val="28"/>
        </w:rPr>
        <w:t>что выше, чем в среднем исполнение расходов по муниципальным программам (92,4%)</w:t>
      </w:r>
      <w:r>
        <w:rPr>
          <w:rFonts w:ascii="Times New Roman" w:hAnsi="Times New Roman"/>
          <w:b w:val="0"/>
          <w:sz w:val="28"/>
        </w:rPr>
        <w:t>.</w:t>
      </w:r>
    </w:p>
    <w:p w14:paraId="07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Доля расходов по муниципальной программе в общей сумме расходов бюджета муниципального округа составляет по плану и по кассовому исполнению -4,1%.</w:t>
      </w:r>
    </w:p>
    <w:p w14:paraId="08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Исполнение расходов осуществлялось 2 ГРБС:</w:t>
      </w:r>
    </w:p>
    <w:p w14:paraId="09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-администрацией Шарангского муниципального округа </w:t>
      </w:r>
      <w:r>
        <w:rPr>
          <w:rFonts w:ascii="Times New Roman" w:hAnsi="Times New Roman"/>
          <w:b w:val="0"/>
          <w:sz w:val="28"/>
        </w:rPr>
        <w:t xml:space="preserve">– </w:t>
      </w:r>
      <w:r>
        <w:rPr>
          <w:rFonts w:ascii="Times New Roman" w:hAnsi="Times New Roman"/>
          <w:b w:val="0"/>
          <w:sz w:val="28"/>
        </w:rPr>
        <w:t>99,9%</w:t>
      </w:r>
      <w:r>
        <w:rPr>
          <w:rFonts w:ascii="Times New Roman" w:hAnsi="Times New Roman"/>
          <w:b w:val="0"/>
          <w:sz w:val="28"/>
        </w:rPr>
        <w:t xml:space="preserve"> от кассовых расходов по муниципальной программе;</w:t>
      </w:r>
    </w:p>
    <w:p w14:paraId="0A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-управлением образования и молодежной политики администрации Шарангского муниципального окр</w:t>
      </w:r>
      <w:r>
        <w:rPr>
          <w:rFonts w:ascii="Times New Roman" w:hAnsi="Times New Roman"/>
          <w:b w:val="0"/>
          <w:sz w:val="28"/>
        </w:rPr>
        <w:t>уга –</w:t>
      </w:r>
      <w:r>
        <w:rPr>
          <w:rFonts w:ascii="Times New Roman" w:hAnsi="Times New Roman"/>
          <w:b w:val="0"/>
          <w:sz w:val="28"/>
        </w:rPr>
        <w:t xml:space="preserve"> 0,1%</w:t>
      </w:r>
      <w:r>
        <w:rPr>
          <w:rFonts w:ascii="Times New Roman" w:hAnsi="Times New Roman"/>
          <w:b w:val="0"/>
          <w:sz w:val="28"/>
        </w:rPr>
        <w:t xml:space="preserve"> от кассовых расходов по муниципальной программе.</w:t>
      </w:r>
    </w:p>
    <w:p w14:paraId="0B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Информация о </w:t>
      </w:r>
      <w:r>
        <w:rPr>
          <w:rFonts w:ascii="Times New Roman" w:hAnsi="Times New Roman"/>
          <w:b w:val="0"/>
          <w:sz w:val="28"/>
        </w:rPr>
        <w:t>структуре финансирования программ в рамках муниципальной программы и кассовом исполнении представлена в таблице 15:</w:t>
      </w:r>
    </w:p>
    <w:p w14:paraId="0C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0D040000">
      <w:pPr>
        <w:pStyle w:val="Style_3"/>
        <w:spacing w:after="0" w:line="240" w:lineRule="auto"/>
        <w:ind w:firstLine="567" w:left="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Таблица 15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98"/>
        <w:gridCol w:w="1211"/>
        <w:gridCol w:w="989"/>
        <w:gridCol w:w="1291"/>
        <w:gridCol w:w="931"/>
        <w:gridCol w:w="1504"/>
      </w:tblGrid>
      <w:tr>
        <w:tc>
          <w:tcPr>
            <w:tcW w:type="dxa" w:w="39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подпрограммы</w:t>
            </w:r>
          </w:p>
        </w:tc>
        <w:tc>
          <w:tcPr>
            <w:tcW w:type="dxa" w:w="220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Уточненный план</w:t>
            </w:r>
          </w:p>
        </w:tc>
        <w:tc>
          <w:tcPr>
            <w:tcW w:type="dxa" w:w="222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Исполнение</w:t>
            </w:r>
          </w:p>
        </w:tc>
        <w:tc>
          <w:tcPr>
            <w:tcW w:type="dxa" w:w="150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 исполнения к годовым назначениям</w:t>
            </w:r>
          </w:p>
        </w:tc>
      </w:tr>
      <w:tr>
        <w:tc>
          <w:tcPr>
            <w:tcW w:type="dxa" w:w="39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тыс. рублей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доля, %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тыс. рублей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доля, %</w:t>
            </w:r>
          </w:p>
        </w:tc>
        <w:tc>
          <w:tcPr>
            <w:tcW w:type="dxa" w:w="150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</w:t>
            </w:r>
            <w:r>
              <w:rPr>
                <w:rFonts w:ascii="Times New Roman" w:hAnsi="Times New Roman"/>
              </w:rPr>
              <w:t xml:space="preserve"> 1 "</w:t>
            </w:r>
            <w:r>
              <w:rPr>
                <w:rFonts w:ascii="Times New Roman" w:hAnsi="Times New Roman"/>
              </w:rPr>
              <w:t>Повышение безопасности дорожного движения в Шарангском муниципальном округе</w:t>
            </w: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25,0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23,9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95,6</w:t>
            </w:r>
          </w:p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2 "</w:t>
            </w:r>
            <w:r>
              <w:rPr>
                <w:rFonts w:ascii="Times New Roman" w:hAnsi="Times New Roman"/>
              </w:rPr>
              <w:t>Ремонт и содержание автомобильных дорог общего пользования в Шарангском муниципальном округе Нижегородской области</w:t>
            </w: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38 532,1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72,8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35 760,6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71,3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92,8</w:t>
            </w:r>
          </w:p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</w:t>
            </w:r>
            <w:r>
              <w:rPr>
                <w:rFonts w:ascii="Times New Roman" w:hAnsi="Times New Roman"/>
              </w:rPr>
              <w:t xml:space="preserve"> 5 "</w:t>
            </w:r>
            <w:r>
              <w:rPr>
                <w:rFonts w:ascii="Times New Roman" w:hAnsi="Times New Roman"/>
              </w:rPr>
              <w:t>Поддержка и развитие пассажирского транспорта</w:t>
            </w: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14 350,0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27,1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14 349,9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28,6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spacing w:after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</w:tr>
      <w:tr>
        <w:trPr>
          <w:trHeight w:hRule="atLeast" w:val="253"/>
        </w:trP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Итого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52 907,1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50 134,4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94,8</w:t>
            </w:r>
          </w:p>
        </w:tc>
      </w:tr>
    </w:tbl>
    <w:p w14:paraId="2E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2F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Основные мероприятия данной муниципальной программы:</w:t>
      </w:r>
    </w:p>
    <w:p w14:paraId="30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-выполнение работ по содержанию автомобильных дорог общего пользования в сумме 15 739,9 тыс</w:t>
      </w:r>
      <w:r>
        <w:rPr>
          <w:rFonts w:ascii="Times New Roman" w:hAnsi="Times New Roman"/>
          <w:b w:val="0"/>
          <w:sz w:val="28"/>
        </w:rPr>
        <w:t>. рублей или 85,0% от уточненного годового плана (18 511,3 тыс. рублей);</w:t>
      </w:r>
    </w:p>
    <w:p w14:paraId="31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-капитальный ремонт и ремонт автомобильных дорог общего пользования местного значения в сумме 20 020,8 тыс. рублей или 100,0% от уточненного годового плана; </w:t>
      </w:r>
    </w:p>
    <w:p w14:paraId="32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-организация и проведение детских конкурсных программ по профилактике детского дорожно-транспортного травматизма в сумме 23,9 тыс. рублей или 95,6% от уточненного годового плана. </w:t>
      </w:r>
    </w:p>
    <w:p w14:paraId="33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  <w:shd w:fill="FFD821" w:val="clear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данной программе присвоена высокая оценка эффективности ее реализации.</w:t>
      </w:r>
    </w:p>
    <w:p w14:paraId="34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  <w:shd w:fill="FFD821" w:val="clear"/>
        </w:rPr>
      </w:pPr>
      <w:r>
        <w:rPr>
          <w:rFonts w:ascii="Times New Roman" w:hAnsi="Times New Roman"/>
          <w:b w:val="1"/>
          <w:sz w:val="28"/>
        </w:rPr>
        <w:t xml:space="preserve">Муниципальная программа «Благоустройство территории Шарангского муниципального округа Нижегородской области на период 2025-2030гг.», </w:t>
      </w:r>
      <w:r>
        <w:rPr>
          <w:rFonts w:ascii="Times New Roman" w:hAnsi="Times New Roman"/>
          <w:b w:val="0"/>
          <w:sz w:val="28"/>
        </w:rPr>
        <w:t>расходы</w:t>
      </w:r>
      <w:r>
        <w:rPr>
          <w:rFonts w:ascii="Times New Roman" w:hAnsi="Times New Roman"/>
          <w:b w:val="0"/>
          <w:sz w:val="28"/>
        </w:rPr>
        <w:t xml:space="preserve"> исполнены в сумме 48 517,1 тыс. рублей или 97,6% от уточненного годового плана (49 725,2 тыс. рублей),</w:t>
      </w:r>
      <w:r>
        <w:rPr>
          <w:rFonts w:ascii="Times New Roman" w:hAnsi="Times New Roman"/>
          <w:b w:val="0"/>
          <w:sz w:val="28"/>
        </w:rPr>
        <w:t xml:space="preserve"> что выше, чем в среднем исполнение расходов по муниципальным программам (92,4%)</w:t>
      </w:r>
      <w:r>
        <w:rPr>
          <w:rFonts w:ascii="Times New Roman" w:hAnsi="Times New Roman"/>
          <w:b w:val="0"/>
          <w:sz w:val="28"/>
        </w:rPr>
        <w:t>.</w:t>
      </w:r>
    </w:p>
    <w:p w14:paraId="35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Доля расходов по муниципальной программе в общей сумме расходов бюджета муниципального округа составляет по плану - 3,8%, по кассовому исполнению -4,0%.</w:t>
      </w:r>
    </w:p>
    <w:p w14:paraId="36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Исполнение расходов осуществлялось 1 ГРБС - </w:t>
      </w:r>
      <w:r>
        <w:rPr>
          <w:rFonts w:ascii="Times New Roman" w:hAnsi="Times New Roman"/>
          <w:b w:val="0"/>
          <w:sz w:val="28"/>
        </w:rPr>
        <w:t>администрацией Шарангского муниципального округа.</w:t>
      </w:r>
    </w:p>
    <w:p w14:paraId="37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Информация о </w:t>
      </w:r>
      <w:r>
        <w:rPr>
          <w:rFonts w:ascii="Times New Roman" w:hAnsi="Times New Roman"/>
          <w:b w:val="0"/>
          <w:sz w:val="28"/>
        </w:rPr>
        <w:t>структуре финансирования программ в рамках муниципальной программы и кассовом исполнении представлена в таблице 16:</w:t>
      </w:r>
    </w:p>
    <w:p w14:paraId="38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39040000">
      <w:pPr>
        <w:pStyle w:val="Style_3"/>
        <w:spacing w:after="0" w:line="240" w:lineRule="auto"/>
        <w:ind w:firstLine="567" w:left="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Таблица 16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98"/>
        <w:gridCol w:w="1211"/>
        <w:gridCol w:w="989"/>
        <w:gridCol w:w="1291"/>
        <w:gridCol w:w="931"/>
        <w:gridCol w:w="1504"/>
      </w:tblGrid>
      <w:tr>
        <w:tc>
          <w:tcPr>
            <w:tcW w:type="dxa" w:w="39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подпрограммы</w:t>
            </w:r>
          </w:p>
        </w:tc>
        <w:tc>
          <w:tcPr>
            <w:tcW w:type="dxa" w:w="220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Уточненный план</w:t>
            </w:r>
          </w:p>
        </w:tc>
        <w:tc>
          <w:tcPr>
            <w:tcW w:type="dxa" w:w="222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Исполнение</w:t>
            </w:r>
          </w:p>
        </w:tc>
        <w:tc>
          <w:tcPr>
            <w:tcW w:type="dxa" w:w="150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 исполнения к годовым назначениям</w:t>
            </w:r>
          </w:p>
        </w:tc>
      </w:tr>
      <w:tr>
        <w:tc>
          <w:tcPr>
            <w:tcW w:type="dxa" w:w="39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тыс. рублей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доля, %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тыс. рублей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доля, %</w:t>
            </w:r>
          </w:p>
        </w:tc>
        <w:tc>
          <w:tcPr>
            <w:tcW w:type="dxa" w:w="150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по благоустройству дворовых территорий вне программы ФКГС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486 ,8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486,8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мероприятия по благоустройству Шарангского муниципального округа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19 878,3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19 162,3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96,4</w:t>
            </w:r>
          </w:p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оплаты труда муниципальных работников, занятых в сфере благоустройства, наемных рабочих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8 393,1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8 318,2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99,1</w:t>
            </w:r>
          </w:p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Текущее содержание и ремонт детских и спортивных площадок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4 260,1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4 260,1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обустройство мест захоронения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1 422,5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1 421,6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</w:t>
            </w:r>
          </w:p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ремонт памятников, памятных мест и мемориалов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5 578,5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5 578,5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ремонт сетей уличного освещения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5 584,9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5 179,2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92,7</w:t>
            </w:r>
          </w:p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благоустройству и содержанию общественных пространств (вне программы ФКГС)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3 842,9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3 837,7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</w:t>
            </w:r>
          </w:p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Озеленение и содержание зеленых насаждений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278,2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272,8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</w:t>
            </w:r>
          </w:p>
        </w:tc>
      </w:tr>
      <w:tr>
        <w:tc>
          <w:tcPr>
            <w:tcW w:type="dxa" w:w="3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Итого</w:t>
            </w:r>
          </w:p>
        </w:tc>
        <w:tc>
          <w:tcPr>
            <w:tcW w:type="dxa" w:w="1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49 725,2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100,0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48 517,1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100,0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97,6</w:t>
            </w:r>
          </w:p>
        </w:tc>
      </w:tr>
    </w:tbl>
    <w:p w14:paraId="7E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  <w:shd w:fill="FFD821" w:val="clear"/>
        </w:rPr>
      </w:pPr>
    </w:p>
    <w:p w14:paraId="7F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  <w:shd w:fill="FFD821" w:val="clear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данной программе присвоена высокая оценка эффективности ее реализации.</w:t>
      </w:r>
    </w:p>
    <w:p w14:paraId="80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Муниципальная программа «Управление муниципальными финансами Шарангского муниципального округа»</w:t>
      </w:r>
      <w:r>
        <w:rPr>
          <w:rFonts w:ascii="Times New Roman" w:hAnsi="Times New Roman"/>
          <w:b w:val="0"/>
          <w:sz w:val="28"/>
        </w:rPr>
        <w:t>, расходы исполнены в сумме 18 666,0 тыс. рублей или 99,7% от уточненного годового плана (18 715,9 тыс. рублей)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b w:val="0"/>
          <w:sz w:val="28"/>
        </w:rPr>
        <w:t>что выше, чем в среднем исполнение расходов по муниципальным программам (92,4%)</w:t>
      </w:r>
      <w:r>
        <w:rPr>
          <w:rFonts w:ascii="Times New Roman" w:hAnsi="Times New Roman"/>
          <w:b w:val="0"/>
          <w:sz w:val="28"/>
        </w:rPr>
        <w:t>.</w:t>
      </w:r>
    </w:p>
    <w:p w14:paraId="81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Доля расходов по муниципальной программе в общей сумме расходов муниципального бюджета составляет по плану -1,4%, кассовому исполнению - 1,5%.</w:t>
      </w:r>
    </w:p>
    <w:p w14:paraId="82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Исполнение расходов осуществлялось 2 ГРБС:</w:t>
      </w:r>
    </w:p>
    <w:p w14:paraId="83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-финансовым управлением администрации Шарангского муниципального округа - 94,3%</w:t>
      </w:r>
      <w:r>
        <w:rPr>
          <w:rFonts w:ascii="Times New Roman" w:hAnsi="Times New Roman"/>
          <w:b w:val="0"/>
          <w:sz w:val="28"/>
        </w:rPr>
        <w:t xml:space="preserve"> от кассовых расходов по муниципальной программе;</w:t>
      </w:r>
    </w:p>
    <w:p w14:paraId="84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- </w:t>
      </w:r>
      <w:r>
        <w:rPr>
          <w:rFonts w:ascii="Times New Roman" w:hAnsi="Times New Roman"/>
          <w:b w:val="0"/>
          <w:sz w:val="28"/>
        </w:rPr>
        <w:t xml:space="preserve">администрацией Шарангского муниципального округа -5,7% </w:t>
      </w:r>
      <w:r>
        <w:rPr>
          <w:rFonts w:ascii="Times New Roman" w:hAnsi="Times New Roman"/>
          <w:b w:val="0"/>
          <w:sz w:val="28"/>
        </w:rPr>
        <w:t>от кассовых расходов по муниципальной программе.</w:t>
      </w:r>
    </w:p>
    <w:p w14:paraId="85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Основную часть расходов данной муниципальной программы составляют расходы на обеспечение деятельности финансового управления администрации Шарангского муниципального округа в сумме 17 606,2 тыс.рублей или 99,9% от уточненного годового плана (17 615,9 тыс. рублей).</w:t>
      </w:r>
    </w:p>
    <w:p w14:paraId="86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Расходы на управление средствами резервного фонда администрации Шарангского муниципального округа составили 1 059,8 тыс. рублей или 96,3% от уточненного годового плана (1 100,0 тыс.рублей)</w:t>
      </w:r>
      <w:r>
        <w:rPr>
          <w:rFonts w:ascii="Times New Roman" w:hAnsi="Times New Roman"/>
          <w:sz w:val="28"/>
        </w:rPr>
        <w:t>.</w:t>
      </w:r>
    </w:p>
    <w:p w14:paraId="87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  <w:shd w:fill="FFD821" w:val="clear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данной программе присвоена высокая оценка эффективности ее реализации.</w:t>
      </w:r>
    </w:p>
    <w:p w14:paraId="88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Шарангского муниципального округа на 2021-2025 годы»</w:t>
      </w:r>
      <w:r>
        <w:rPr>
          <w:rFonts w:ascii="Times New Roman" w:hAnsi="Times New Roman"/>
          <w:b w:val="0"/>
          <w:sz w:val="28"/>
        </w:rPr>
        <w:t>, расходы исполнены в сумме 18 284,4 тыс. рублей или 97,2% от уточненного годового плана (18 815,6 тыс. рублей)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b w:val="0"/>
          <w:sz w:val="28"/>
        </w:rPr>
        <w:t>что выше, чем в среднем исполнение расходов по муниципальным программам 92,4%.</w:t>
      </w:r>
    </w:p>
    <w:p w14:paraId="89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  <w:shd w:fill="FFD821" w:val="clear"/>
        </w:rPr>
      </w:pPr>
      <w:r>
        <w:rPr>
          <w:rFonts w:ascii="Times New Roman" w:hAnsi="Times New Roman"/>
          <w:b w:val="0"/>
          <w:sz w:val="28"/>
        </w:rPr>
        <w:t>На конец отчетного периода по муниципальной</w:t>
      </w:r>
      <w:r>
        <w:rPr>
          <w:rFonts w:ascii="Times New Roman" w:hAnsi="Times New Roman"/>
          <w:b w:val="0"/>
          <w:sz w:val="28"/>
        </w:rPr>
        <w:t xml:space="preserve"> программе не исполнены бюджетные назначения в сумме 531,2 тыс. рублей.</w:t>
      </w:r>
    </w:p>
    <w:p w14:paraId="8A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  <w:shd w:fill="FFD821" w:val="clear"/>
        </w:rPr>
      </w:pPr>
      <w:r>
        <w:rPr>
          <w:rFonts w:ascii="Times New Roman" w:hAnsi="Times New Roman"/>
          <w:b w:val="0"/>
          <w:sz w:val="28"/>
        </w:rPr>
        <w:t xml:space="preserve">Доля расходов </w:t>
      </w:r>
      <w:r>
        <w:rPr>
          <w:rFonts w:ascii="Times New Roman" w:hAnsi="Times New Roman"/>
          <w:b w:val="0"/>
          <w:sz w:val="28"/>
        </w:rPr>
        <w:t>по муниципальной программе в</w:t>
      </w:r>
      <w:r>
        <w:rPr>
          <w:rFonts w:ascii="Times New Roman" w:hAnsi="Times New Roman"/>
          <w:b w:val="0"/>
          <w:sz w:val="28"/>
        </w:rPr>
        <w:t xml:space="preserve"> общей сумме расходов муниципального бюджета составляет по плану - 1,4%, по кассовому исполнению - 1,5%.</w:t>
      </w:r>
    </w:p>
    <w:p w14:paraId="8B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Исполнение расходов осуществлялось 2 ГРБС:</w:t>
      </w:r>
    </w:p>
    <w:p w14:paraId="8C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</w:t>
      </w:r>
      <w:r>
        <w:rPr>
          <w:rFonts w:ascii="Times New Roman" w:hAnsi="Times New Roman"/>
          <w:b w:val="0"/>
          <w:sz w:val="28"/>
        </w:rPr>
        <w:t>администрацией Шарангского муниципального округа – 98,5% от кассовых расходов по муниципальной программе;</w:t>
      </w:r>
    </w:p>
    <w:p w14:paraId="8D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-отделом по управлению муниципальным имуществом администрации Шарангского муниципального округа Нижегородской области – 1,5% от кассовых расходов по муниципальной программе.</w:t>
      </w:r>
    </w:p>
    <w:p w14:paraId="8E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Информация о </w:t>
      </w:r>
      <w:r>
        <w:rPr>
          <w:rFonts w:ascii="Times New Roman" w:hAnsi="Times New Roman"/>
          <w:b w:val="0"/>
          <w:sz w:val="28"/>
        </w:rPr>
        <w:t>структуре финансирования программ в рамках муниципальной программы и кассовом исполнении представлена в таблице 17:</w:t>
      </w:r>
    </w:p>
    <w:p w14:paraId="8F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90040000">
      <w:pPr>
        <w:pStyle w:val="Style_3"/>
        <w:spacing w:after="0" w:line="240" w:lineRule="auto"/>
        <w:ind w:firstLine="567" w:left="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Таблица 17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89"/>
        <w:gridCol w:w="1220"/>
        <w:gridCol w:w="989"/>
        <w:gridCol w:w="1291"/>
        <w:gridCol w:w="931"/>
        <w:gridCol w:w="1504"/>
      </w:tblGrid>
      <w:tr>
        <w:tc>
          <w:tcPr>
            <w:tcW w:type="dxa" w:w="398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подпрограммы</w:t>
            </w:r>
          </w:p>
        </w:tc>
        <w:tc>
          <w:tcPr>
            <w:tcW w:type="dxa" w:w="220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Уточненный план</w:t>
            </w:r>
          </w:p>
        </w:tc>
        <w:tc>
          <w:tcPr>
            <w:tcW w:type="dxa" w:w="222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4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Исполнение</w:t>
            </w:r>
          </w:p>
        </w:tc>
        <w:tc>
          <w:tcPr>
            <w:tcW w:type="dxa" w:w="150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 исполнения к годовым назначениям</w:t>
            </w:r>
          </w:p>
        </w:tc>
      </w:tr>
      <w:tr>
        <w:tc>
          <w:tcPr>
            <w:tcW w:type="dxa" w:w="398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4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тыс. рублей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4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доля, %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тыс. рублей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доля, %</w:t>
            </w:r>
          </w:p>
        </w:tc>
        <w:tc>
          <w:tcPr>
            <w:tcW w:type="dxa" w:w="150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3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spacing w:after="0" w:line="240" w:lineRule="auto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</w:t>
            </w:r>
            <w:r>
              <w:rPr>
                <w:rFonts w:ascii="Times New Roman" w:hAnsi="Times New Roman"/>
              </w:rPr>
              <w:t>ма</w:t>
            </w:r>
            <w:r>
              <w:rPr>
                <w:rFonts w:ascii="Times New Roman" w:hAnsi="Times New Roman"/>
              </w:rPr>
              <w:t xml:space="preserve"> 1 "</w:t>
            </w:r>
            <w:r>
              <w:rPr>
                <w:rFonts w:ascii="Times New Roman" w:hAnsi="Times New Roman"/>
              </w:rPr>
              <w:t>Защита населения от чрезвычайных ситуаций</w:t>
            </w: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type="dxa" w:w="12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6 501,1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6 250,0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96,1</w:t>
            </w:r>
          </w:p>
        </w:tc>
      </w:tr>
      <w:tr>
        <w:tc>
          <w:tcPr>
            <w:tcW w:type="dxa" w:w="3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40000">
            <w:pPr>
              <w:spacing w:after="0" w:line="240" w:lineRule="auto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 "</w:t>
            </w:r>
            <w:r>
              <w:rPr>
                <w:rFonts w:ascii="Times New Roman" w:hAnsi="Times New Roman"/>
              </w:rPr>
              <w:t>Обеспечение пожарной безопасности</w:t>
            </w: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type="dxa" w:w="12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12 038,5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11 764,4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64,3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97,7</w:t>
            </w:r>
          </w:p>
        </w:tc>
      </w:tr>
      <w:tr>
        <w:tc>
          <w:tcPr>
            <w:tcW w:type="dxa" w:w="3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40000">
            <w:pPr>
              <w:spacing w:after="0" w:line="240" w:lineRule="auto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3</w:t>
            </w:r>
            <w:r>
              <w:rPr>
                <w:rFonts w:ascii="Times New Roman" w:hAnsi="Times New Roman"/>
              </w:rPr>
              <w:t xml:space="preserve"> "</w:t>
            </w:r>
            <w:r>
              <w:rPr>
                <w:rFonts w:ascii="Times New Roman" w:hAnsi="Times New Roman"/>
              </w:rPr>
              <w:t>Построение и развитие аппаратно-программного комплекса «Безопасный город</w:t>
            </w: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type="dxa" w:w="12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276,0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270,0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</w:tr>
      <w:tr>
        <w:tc>
          <w:tcPr>
            <w:tcW w:type="dxa" w:w="3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Итого</w:t>
            </w:r>
          </w:p>
        </w:tc>
        <w:tc>
          <w:tcPr>
            <w:tcW w:type="dxa" w:w="12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spacing w:after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18 815,6</w:t>
            </w:r>
          </w:p>
        </w:tc>
        <w:tc>
          <w:tcPr>
            <w:tcW w:type="dxa" w:w="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40000">
            <w:pPr>
              <w:spacing w:after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100,0</w:t>
            </w:r>
          </w:p>
        </w:tc>
        <w:tc>
          <w:tcPr>
            <w:tcW w:type="dxa" w:w="1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spacing w:after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18 284,4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spacing w:after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100,0</w:t>
            </w:r>
          </w:p>
        </w:tc>
        <w:tc>
          <w:tcPr>
            <w:tcW w:type="dxa" w:w="1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spacing w:after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97,2</w:t>
            </w:r>
          </w:p>
        </w:tc>
      </w:tr>
    </w:tbl>
    <w:p w14:paraId="B1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B2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Основные мероприятия данной муниципальной программе:</w:t>
      </w:r>
    </w:p>
    <w:p w14:paraId="B3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-о</w:t>
      </w:r>
      <w:r>
        <w:rPr>
          <w:rFonts w:ascii="Times New Roman" w:hAnsi="Times New Roman"/>
          <w:sz w:val="28"/>
        </w:rPr>
        <w:t>беспечение деятельности ЕДДС в сумме 5 817,9 тыс. рублей или 99,6% от утвержденного годового плана (5 838,5 тыс. рублей);</w:t>
      </w:r>
    </w:p>
    <w:p w14:paraId="B4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-п</w:t>
      </w:r>
      <w:r>
        <w:rPr>
          <w:rFonts w:ascii="Times New Roman" w:hAnsi="Times New Roman"/>
          <w:sz w:val="28"/>
        </w:rPr>
        <w:t xml:space="preserve">оддержание необходимого количества финансовых средств в целевом финансовом резерве для предупреждения и ликвидации чрезвычайных ситуаций и последствий стихийных бедствий на территории в сумме 87,2 тыс. рублей или 43,6% от </w:t>
      </w:r>
      <w:r>
        <w:rPr>
          <w:rFonts w:ascii="Times New Roman" w:hAnsi="Times New Roman"/>
          <w:sz w:val="28"/>
        </w:rPr>
        <w:t>утвержденного годового плана (200,0 тыс. рублей);</w:t>
      </w:r>
    </w:p>
    <w:p w14:paraId="B5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-изготовление </w:t>
      </w:r>
      <w:r>
        <w:rPr>
          <w:rFonts w:ascii="Times New Roman" w:hAnsi="Times New Roman"/>
          <w:sz w:val="28"/>
        </w:rPr>
        <w:t>информационных стендов по ГО в сумме 62,7 тыс. рублей или 100</w:t>
      </w:r>
      <w:r>
        <w:rPr>
          <w:rFonts w:ascii="Times New Roman" w:hAnsi="Times New Roman"/>
          <w:sz w:val="28"/>
        </w:rPr>
        <w:t>,0% от утвержд</w:t>
      </w:r>
      <w:r>
        <w:rPr>
          <w:rFonts w:ascii="Times New Roman" w:hAnsi="Times New Roman"/>
          <w:b w:val="0"/>
          <w:sz w:val="28"/>
        </w:rPr>
        <w:t>енного годового плана;</w:t>
      </w:r>
    </w:p>
    <w:p w14:paraId="B6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-мероприятия по ликвидации последствий ЧС, возникшей в результате урагана 10.07.2025 г. в сумме 282,2 тыс. рублей и</w:t>
      </w:r>
      <w:r>
        <w:rPr>
          <w:rFonts w:ascii="Times New Roman" w:hAnsi="Times New Roman"/>
          <w:b w:val="0"/>
          <w:sz w:val="28"/>
        </w:rPr>
        <w:t>ли 70,6% от утвержденного годового плана (399,9 тыс. рублей);</w:t>
      </w:r>
    </w:p>
    <w:p w14:paraId="B7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-мероприятия по обеспечению своевременного оповещения и информирования населения техническими средствами оповещения в сумме 270,0 тыс. рублей или 97,8% от уточненного годового плана (276,0 тыс. рублей).</w:t>
      </w:r>
    </w:p>
    <w:p w14:paraId="B8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-с</w:t>
      </w:r>
      <w:r>
        <w:rPr>
          <w:rFonts w:ascii="Times New Roman" w:hAnsi="Times New Roman"/>
          <w:sz w:val="28"/>
        </w:rPr>
        <w:t>одержание подразделений МПО территориальных отделов в сумме 11 456,3 тыс. рублей или 98,6% от уточненного годового плана (11 614,1 тыс. рублей);</w:t>
      </w:r>
    </w:p>
    <w:p w14:paraId="B9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-мероприятия по пожарной безопасности объектов и населенных пунктов </w:t>
      </w:r>
      <w:r>
        <w:rPr>
          <w:rFonts w:ascii="Times New Roman" w:hAnsi="Times New Roman"/>
          <w:sz w:val="28"/>
        </w:rPr>
        <w:t>Шарангского</w:t>
      </w:r>
      <w:r>
        <w:rPr>
          <w:rFonts w:ascii="Times New Roman" w:hAnsi="Times New Roman"/>
          <w:sz w:val="28"/>
        </w:rPr>
        <w:t xml:space="preserve"> муниципального округа в сумме 308,1 тыс. рублей или 72,6% от уточненного годового плана (424,4 тыс. рублей).</w:t>
      </w:r>
    </w:p>
    <w:p w14:paraId="BA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данной программе присвоена высокая оценка эффективности ее реализации.</w:t>
      </w:r>
    </w:p>
    <w:p w14:paraId="BB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Муниципальная программа</w:t>
      </w:r>
      <w:r>
        <w:rPr>
          <w:rFonts w:ascii="Times New Roman" w:hAnsi="Times New Roman"/>
          <w:b w:val="1"/>
          <w:sz w:val="28"/>
        </w:rPr>
        <w:t xml:space="preserve"> «</w:t>
      </w:r>
      <w:r>
        <w:rPr>
          <w:rFonts w:ascii="Times New Roman" w:hAnsi="Times New Roman"/>
          <w:b w:val="1"/>
          <w:sz w:val="28"/>
        </w:rPr>
        <w:t>Поэтапная ликвидация до 2025 года накопившейся задолженности по обеспечению жилыми помещениями детей-сирот, детей, оставшихся без попечения родителей, лиц из их числа включенных в список нуждающихся, на 1 января 2020 года</w:t>
      </w:r>
      <w:r>
        <w:rPr>
          <w:rFonts w:ascii="Times New Roman" w:hAnsi="Times New Roman"/>
          <w:b w:val="1"/>
          <w:sz w:val="28"/>
        </w:rPr>
        <w:t>»</w:t>
      </w:r>
      <w:r>
        <w:rPr>
          <w:rFonts w:ascii="Times New Roman" w:hAnsi="Times New Roman"/>
          <w:b w:val="0"/>
          <w:sz w:val="28"/>
        </w:rPr>
        <w:t>, расходы исполнены в сумме 14 884,6 тыс. рублей или 100,0% от уточненного годового плана</w:t>
      </w:r>
      <w:r>
        <w:rPr>
          <w:rFonts w:ascii="Times New Roman" w:hAnsi="Times New Roman"/>
          <w:b w:val="0"/>
          <w:sz w:val="28"/>
        </w:rPr>
        <w:t>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Число детей-сирот, обеспеченных жилыми помещениями в 2025 году –2 человек</w:t>
      </w:r>
      <w:r>
        <w:rPr>
          <w:rFonts w:ascii="Times New Roman" w:hAnsi="Times New Roman"/>
          <w:b w:val="0"/>
          <w:sz w:val="28"/>
        </w:rPr>
        <w:t>.</w:t>
      </w:r>
    </w:p>
    <w:p w14:paraId="BC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Доля расходов </w:t>
      </w:r>
      <w:r>
        <w:rPr>
          <w:rFonts w:ascii="Times New Roman" w:hAnsi="Times New Roman"/>
          <w:b w:val="0"/>
          <w:sz w:val="28"/>
        </w:rPr>
        <w:t>по муниципальной программе в общей сумме расходов муниципального бюджета составляет по плану-1,1%, по кассовому исполнению – 1,2%.</w:t>
      </w:r>
    </w:p>
    <w:p w14:paraId="BD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Исполнение расходов осуществлялось 1 ГРБС </w:t>
      </w:r>
      <w:r>
        <w:rPr>
          <w:rFonts w:ascii="Times New Roman" w:hAnsi="Times New Roman"/>
          <w:b w:val="0"/>
          <w:sz w:val="28"/>
        </w:rPr>
        <w:t xml:space="preserve">- </w:t>
      </w:r>
      <w:r>
        <w:rPr>
          <w:rFonts w:ascii="Times New Roman" w:hAnsi="Times New Roman"/>
          <w:b w:val="0"/>
          <w:sz w:val="28"/>
        </w:rPr>
        <w:t>администрацией Шарангского муниципального округа</w:t>
      </w:r>
      <w:r>
        <w:rPr>
          <w:rFonts w:ascii="Times New Roman" w:hAnsi="Times New Roman"/>
          <w:b w:val="0"/>
          <w:sz w:val="28"/>
        </w:rPr>
        <w:t>.</w:t>
      </w:r>
    </w:p>
    <w:p w14:paraId="BE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данной программе присвоена неудовлетворительная оценка эффективности ее реализации.</w:t>
      </w:r>
    </w:p>
    <w:p w14:paraId="BF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Муниципальная программа «Информационная среда в Шарангском муниципальном округе на 2025 -2027 годы»</w:t>
      </w:r>
      <w:r>
        <w:rPr>
          <w:rFonts w:ascii="Times New Roman" w:hAnsi="Times New Roman"/>
          <w:b w:val="0"/>
          <w:sz w:val="28"/>
        </w:rPr>
        <w:t xml:space="preserve">, расходы исполнены в сумме          8 820,1 тыс. рублей или 98,3% от уточненного годового плана (8 968,9 тыс. рублей) и направлены на </w:t>
      </w:r>
      <w:r>
        <w:rPr>
          <w:rFonts w:ascii="Times New Roman" w:hAnsi="Times New Roman"/>
          <w:b w:val="0"/>
          <w:sz w:val="28"/>
        </w:rPr>
        <w:t>п</w:t>
      </w:r>
      <w:r>
        <w:rPr>
          <w:rFonts w:ascii="Times New Roman" w:hAnsi="Times New Roman"/>
          <w:sz w:val="28"/>
        </w:rPr>
        <w:t>редоставление субсидии на реализацию мероприятия, направленного на оказание частичной финансовой поддержки средствам массовой информации Шарангского муниципального округа, внесенным в областной реестр окружных средств массовой информации.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C0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Доля расходов </w:t>
      </w:r>
      <w:r>
        <w:rPr>
          <w:rFonts w:ascii="Times New Roman" w:hAnsi="Times New Roman"/>
          <w:b w:val="0"/>
          <w:sz w:val="28"/>
        </w:rPr>
        <w:t>по муниципальной программе в общей сумме расходов муниципального бюджета составляет по плану и по кассовому исполнению – 0,7%.</w:t>
      </w:r>
    </w:p>
    <w:p w14:paraId="C1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Исполнение расходов осуществлялось 1 ГРБС </w:t>
      </w:r>
      <w:r>
        <w:rPr>
          <w:rFonts w:ascii="Times New Roman" w:hAnsi="Times New Roman"/>
          <w:b w:val="0"/>
          <w:sz w:val="28"/>
        </w:rPr>
        <w:t xml:space="preserve">- </w:t>
      </w:r>
      <w:r>
        <w:rPr>
          <w:rFonts w:ascii="Times New Roman" w:hAnsi="Times New Roman"/>
          <w:b w:val="0"/>
          <w:sz w:val="28"/>
        </w:rPr>
        <w:t>администрацией Шарангского муниципального округа</w:t>
      </w:r>
      <w:r>
        <w:rPr>
          <w:rFonts w:ascii="Times New Roman" w:hAnsi="Times New Roman"/>
          <w:b w:val="0"/>
          <w:sz w:val="28"/>
        </w:rPr>
        <w:t>.</w:t>
      </w:r>
    </w:p>
    <w:p w14:paraId="C2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данной программе присвоена средняя оценка эффективности ее реализации.</w:t>
      </w:r>
    </w:p>
    <w:p w14:paraId="C3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Муниципальная программа «Формирование комфортной городской среды на территории Шарангского муниципального округа»</w:t>
      </w:r>
      <w:r>
        <w:rPr>
          <w:rFonts w:ascii="Times New Roman" w:hAnsi="Times New Roman"/>
          <w:b w:val="0"/>
          <w:sz w:val="28"/>
        </w:rPr>
        <w:t>, расходы исполнены в сумме 7 947,0 тыс. рублей или 99,9% от уточненного годового плана (7 956,1 тыс. рублей)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b w:val="0"/>
          <w:sz w:val="28"/>
        </w:rPr>
        <w:t>что выше, чем в среднем исполнение расходов по муниципальным программам (92,4%)</w:t>
      </w:r>
      <w:r>
        <w:rPr>
          <w:rFonts w:ascii="Times New Roman" w:hAnsi="Times New Roman"/>
          <w:b w:val="0"/>
          <w:sz w:val="28"/>
        </w:rPr>
        <w:t>.</w:t>
      </w:r>
    </w:p>
    <w:p w14:paraId="C4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Доля расходов </w:t>
      </w:r>
      <w:r>
        <w:rPr>
          <w:rFonts w:ascii="Times New Roman" w:hAnsi="Times New Roman"/>
          <w:b w:val="0"/>
          <w:sz w:val="28"/>
        </w:rPr>
        <w:t>по муниципальной программе в общей сумме расходов муниципального бюджета составляет по плану и по кассовому исполнению -0,6%.</w:t>
      </w:r>
    </w:p>
    <w:p w14:paraId="C5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Исполнение расходов осуществлялось 1 ГРБС - </w:t>
      </w:r>
      <w:r>
        <w:rPr>
          <w:rFonts w:ascii="Times New Roman" w:hAnsi="Times New Roman"/>
          <w:b w:val="0"/>
          <w:sz w:val="28"/>
        </w:rPr>
        <w:t>администрацией Шарангского муниципального округа.</w:t>
      </w:r>
    </w:p>
    <w:p w14:paraId="C6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Основное мероприятие данной муниципальной программы:</w:t>
      </w:r>
    </w:p>
    <w:p w14:paraId="C7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-расход</w:t>
      </w:r>
      <w:r>
        <w:rPr>
          <w:rFonts w:ascii="Times New Roman" w:hAnsi="Times New Roman"/>
          <w:sz w:val="28"/>
        </w:rPr>
        <w:t>ы на проведение ремонта дворовых территорий в муниципальных образованиях – 2 160,0</w:t>
      </w:r>
      <w:r>
        <w:rPr>
          <w:rFonts w:ascii="Times New Roman" w:hAnsi="Times New Roman"/>
          <w:b w:val="0"/>
          <w:sz w:val="28"/>
        </w:rPr>
        <w:t xml:space="preserve"> тыс. рублей или 100,0% от утвержденного годового плана;</w:t>
      </w:r>
    </w:p>
    <w:p w14:paraId="C8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-расходы на благоустройство общественных пространств и мест массового отдыха населения – 5 787,0 тыс.рублей или 99,8% от утвержд</w:t>
      </w:r>
      <w:r>
        <w:rPr>
          <w:rFonts w:ascii="Times New Roman" w:hAnsi="Times New Roman"/>
          <w:b w:val="0"/>
          <w:sz w:val="28"/>
        </w:rPr>
        <w:t>енного годового плана (5 796,1 тыс. рублей).</w:t>
      </w:r>
    </w:p>
    <w:p w14:paraId="C9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данной программе присвоена высокая оценка эффективности ее реализации.</w:t>
      </w:r>
    </w:p>
    <w:p w14:paraId="CA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Муниципальная программа «Переселение граждан из аварийного жилищного фонда на территории Шарангского муниципального округа Нижегородской области на 2024 -2028 годы», </w:t>
      </w:r>
      <w:r>
        <w:rPr>
          <w:rFonts w:ascii="Times New Roman" w:hAnsi="Times New Roman"/>
          <w:b w:val="0"/>
          <w:sz w:val="28"/>
        </w:rPr>
        <w:t>расходы</w:t>
      </w:r>
      <w:r>
        <w:rPr>
          <w:rFonts w:ascii="Times New Roman" w:hAnsi="Times New Roman"/>
          <w:b w:val="0"/>
          <w:sz w:val="28"/>
        </w:rPr>
        <w:t xml:space="preserve"> исполнены в сумме         7 173,1 тыс. рублей или 100,0% от уточненного годового плана</w:t>
      </w:r>
      <w:r>
        <w:rPr>
          <w:rFonts w:ascii="Times New Roman" w:hAnsi="Times New Roman"/>
          <w:b w:val="0"/>
          <w:sz w:val="28"/>
        </w:rPr>
        <w:t>.</w:t>
      </w:r>
    </w:p>
    <w:p w14:paraId="CB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Доля расходов по муниципальной программе в общей сумме расходов бюджета муниципального округа составляет по плану и по кассовому исполнению - 0,6%.</w:t>
      </w:r>
    </w:p>
    <w:p w14:paraId="CC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Исполнение расходов осуществлялось 1 ГРБС - </w:t>
      </w:r>
      <w:r>
        <w:rPr>
          <w:rFonts w:ascii="Times New Roman" w:hAnsi="Times New Roman"/>
          <w:b w:val="0"/>
          <w:sz w:val="28"/>
        </w:rPr>
        <w:t>администрацией Шарангского муниципального округа.</w:t>
      </w:r>
    </w:p>
    <w:p w14:paraId="CD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Основные мероприятия данной муниципальной программы:</w:t>
      </w:r>
    </w:p>
    <w:p w14:paraId="CE040000">
      <w:pPr>
        <w:pStyle w:val="Style_3"/>
        <w:numPr>
          <w:numId w:val="12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обеспечение мероприятий по переселению граждан из аварийного жилищного фонда за счет средств публично-правовой компании «Фонд развития территорий» </w:t>
      </w:r>
      <w:r>
        <w:rPr>
          <w:rFonts w:ascii="Times New Roman" w:hAnsi="Times New Roman"/>
          <w:sz w:val="28"/>
        </w:rPr>
        <w:t>в сумме 3 188,8 тыс</w:t>
      </w:r>
      <w:r>
        <w:rPr>
          <w:rFonts w:ascii="Times New Roman" w:hAnsi="Times New Roman"/>
          <w:b w:val="0"/>
          <w:sz w:val="28"/>
        </w:rPr>
        <w:t>.рублей или 100,0% от утвержденного годового плана;</w:t>
      </w:r>
    </w:p>
    <w:p w14:paraId="CF040000">
      <w:pPr>
        <w:pStyle w:val="Style_3"/>
        <w:numPr>
          <w:numId w:val="13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обеспечение мероприятий по переселению граждан из аварийного жилищного фонда </w:t>
      </w:r>
      <w:r>
        <w:rPr>
          <w:rFonts w:ascii="Times New Roman" w:hAnsi="Times New Roman"/>
          <w:sz w:val="28"/>
        </w:rPr>
        <w:t>в сумме 3 560,0 тыс</w:t>
      </w:r>
      <w:r>
        <w:rPr>
          <w:rFonts w:ascii="Times New Roman" w:hAnsi="Times New Roman"/>
          <w:b w:val="0"/>
          <w:sz w:val="28"/>
        </w:rPr>
        <w:t>.рублей или 100,0% от утвержденного годового плана;</w:t>
      </w:r>
    </w:p>
    <w:p w14:paraId="D0040000">
      <w:pPr>
        <w:pStyle w:val="Style_3"/>
        <w:numPr>
          <w:numId w:val="13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софинансирование</w:t>
      </w:r>
      <w:r>
        <w:rPr>
          <w:rFonts w:ascii="Times New Roman" w:hAnsi="Times New Roman"/>
          <w:sz w:val="28"/>
        </w:rPr>
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 из аварийного жилищного фонда, признанного таковым с 1 января 2017 г. до 1 января 2022 г." в сумме 424,3</w:t>
      </w:r>
      <w:r>
        <w:rPr>
          <w:rFonts w:ascii="Times New Roman" w:hAnsi="Times New Roman"/>
          <w:b w:val="0"/>
          <w:sz w:val="28"/>
        </w:rPr>
        <w:t xml:space="preserve"> тыс. рублей или 100,0% от утвержденного годового плана.</w:t>
      </w:r>
    </w:p>
    <w:p w14:paraId="D1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данной программе присвоена высокая оценка эффективности ее реализации.</w:t>
      </w:r>
    </w:p>
    <w:p w14:paraId="D2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Муниципальная программа «Противодействие терроризму и профилактика экстремизма в Шарангском муниципальном округе на 2024 -2026 годы»</w:t>
      </w:r>
      <w:r>
        <w:rPr>
          <w:rFonts w:ascii="Times New Roman" w:hAnsi="Times New Roman"/>
          <w:b w:val="0"/>
          <w:sz w:val="28"/>
        </w:rPr>
        <w:t>, расходы исполнены в сумме 6 969,1 тыс. рублей или 99,8% от уточненного годового плана (6 983,7 тыс. рублей).</w:t>
      </w:r>
    </w:p>
    <w:p w14:paraId="D3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Доля расходов </w:t>
      </w:r>
      <w:r>
        <w:rPr>
          <w:rFonts w:ascii="Times New Roman" w:hAnsi="Times New Roman"/>
          <w:b w:val="0"/>
          <w:sz w:val="28"/>
        </w:rPr>
        <w:t>по муниципальной программе в общей сумме расходов муниципального бюджета составляет по плану - 0,5%, по кассовому исполнению – 0,6%.</w:t>
      </w:r>
    </w:p>
    <w:p w14:paraId="D4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Исполнение расходов осуществлялось 1 ГРБС - </w:t>
      </w:r>
      <w:r>
        <w:rPr>
          <w:rFonts w:ascii="Times New Roman" w:hAnsi="Times New Roman"/>
          <w:b w:val="0"/>
          <w:sz w:val="28"/>
        </w:rPr>
        <w:t>управлением образования и молодежной политики администрации Шарангского муниципального округа.</w:t>
      </w:r>
    </w:p>
    <w:p w14:paraId="D5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Основные мероприятия данной муниципальной программы:</w:t>
      </w:r>
    </w:p>
    <w:p w14:paraId="D6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-о</w:t>
      </w:r>
      <w:r>
        <w:rPr>
          <w:rFonts w:ascii="Times New Roman" w:hAnsi="Times New Roman"/>
          <w:sz w:val="28"/>
        </w:rPr>
        <w:t xml:space="preserve">бслуживание установленных в учреждениях образования Шарангского муниципального округа кнопок тревожной сигнализации </w:t>
      </w:r>
      <w:r>
        <w:rPr>
          <w:rFonts w:ascii="Times New Roman" w:hAnsi="Times New Roman"/>
          <w:b w:val="0"/>
          <w:sz w:val="28"/>
        </w:rPr>
        <w:t>в сумме 344,7 тыс.рублей или 100,0% от уточненного годового плана;</w:t>
      </w:r>
    </w:p>
    <w:p w14:paraId="D7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-у</w:t>
      </w:r>
      <w:r>
        <w:rPr>
          <w:rFonts w:ascii="Times New Roman" w:hAnsi="Times New Roman"/>
          <w:sz w:val="28"/>
        </w:rPr>
        <w:t>силение антитеррористической защищенности образовательных учреждений (установка видеонаблюдения, СОУТ, ограждений)</w:t>
      </w:r>
      <w:r>
        <w:rPr>
          <w:rFonts w:ascii="Times New Roman" w:hAnsi="Times New Roman"/>
          <w:b w:val="0"/>
          <w:sz w:val="28"/>
        </w:rPr>
        <w:t xml:space="preserve"> в сумме 6 624,5 тыс. рублей или 99,8% от уточненного годового плана (6 639,0 тыс. рублей).</w:t>
      </w:r>
    </w:p>
    <w:p w14:paraId="D8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данной программе присвоена высокая оценка эффективности ее реализации.</w:t>
      </w:r>
    </w:p>
    <w:p w14:paraId="D9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Муниципальная программа «Управление муниципальным имуществом Шарангского муниципального округа Нижегородской области на 2021 -2025 годы»</w:t>
      </w:r>
      <w:r>
        <w:rPr>
          <w:rFonts w:ascii="Times New Roman" w:hAnsi="Times New Roman"/>
          <w:b w:val="0"/>
          <w:sz w:val="28"/>
        </w:rPr>
        <w:t>, расходы исполнены в сумме 4 248,7 тыс. рублей или 99,4% от уточненного годового плана (4 274,3 тыс. рублей)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b w:val="0"/>
          <w:sz w:val="28"/>
        </w:rPr>
        <w:t>что выше, чем в среднем исполнение расходов по муниципальным программам (92,4%)</w:t>
      </w:r>
      <w:r>
        <w:rPr>
          <w:rFonts w:ascii="Times New Roman" w:hAnsi="Times New Roman"/>
          <w:b w:val="0"/>
          <w:sz w:val="28"/>
        </w:rPr>
        <w:t>.</w:t>
      </w:r>
    </w:p>
    <w:p w14:paraId="DA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Доля расходов </w:t>
      </w:r>
      <w:r>
        <w:rPr>
          <w:rFonts w:ascii="Times New Roman" w:hAnsi="Times New Roman"/>
          <w:b w:val="0"/>
          <w:sz w:val="28"/>
        </w:rPr>
        <w:t>по муниципальной программе в общей сумме расходов муниципального бюджета составляет по плану и по кассовому исполнению – 0,3%.</w:t>
      </w:r>
    </w:p>
    <w:p w14:paraId="DB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Исполнение расходов осуществлялось 1 ГРБС – отделом по управлению муниципальным имуществом </w:t>
      </w:r>
      <w:r>
        <w:rPr>
          <w:rFonts w:ascii="Times New Roman" w:hAnsi="Times New Roman"/>
          <w:b w:val="0"/>
          <w:sz w:val="28"/>
        </w:rPr>
        <w:t>администрации Шарангского муниципального округа.</w:t>
      </w:r>
    </w:p>
    <w:p w14:paraId="DC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Основные мероприятия по данной муниципальной программе:</w:t>
      </w:r>
    </w:p>
    <w:p w14:paraId="DD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-мероприятия по землеустройству и землепользованию в сумме 552,0 тыс. рублей или 96,8% от уточненного годового плана (570,5 тыс. рублей);</w:t>
      </w:r>
    </w:p>
    <w:p w14:paraId="DE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-проведение оценки недвижимости, признание прав и регулирование отношений по муниципальной собственности в сумме 94,0 тыс. рублей или 100,0% уточненного годового плана;</w:t>
      </w:r>
    </w:p>
    <w:p w14:paraId="DF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-о</w:t>
      </w:r>
      <w:r>
        <w:rPr>
          <w:rFonts w:ascii="Times New Roman" w:hAnsi="Times New Roman"/>
          <w:sz w:val="28"/>
        </w:rPr>
        <w:t>беспечение деятельности отдела по управлению муниципальным имуществом администрации Шарангского муниципального округа Нижегородской области в сумме 3 602,7 тыс. рублей или 99,8% от уточненного годового плана (9 609,8 тыс. рублей)</w:t>
      </w:r>
      <w:r>
        <w:rPr>
          <w:rFonts w:ascii="Times New Roman" w:hAnsi="Times New Roman"/>
          <w:b w:val="0"/>
          <w:sz w:val="28"/>
        </w:rPr>
        <w:t>.</w:t>
      </w:r>
    </w:p>
    <w:p w14:paraId="E0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данной программе присвоена неудовлетворительная оценка эффективности ее реализации.</w:t>
      </w:r>
    </w:p>
    <w:p w14:paraId="E1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Муниципальная программа «Энергосбережение и повышение энергетической эффективности на территории Шарангского муниципального округа Нижегородской области на 2024 -2028 годы»</w:t>
      </w:r>
      <w:r>
        <w:rPr>
          <w:rFonts w:ascii="Times New Roman" w:hAnsi="Times New Roman"/>
          <w:b w:val="0"/>
          <w:sz w:val="28"/>
        </w:rPr>
        <w:t>, расходы исполнены в сумме 1 898,8 тыс. рублей или 94,5% от уточненного годового плана (2 008,5 тыс. рублей)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b w:val="0"/>
          <w:sz w:val="28"/>
        </w:rPr>
        <w:t>что выше, чем в среднем исполнение расходов по муниципальным программам (92,4%).</w:t>
      </w:r>
    </w:p>
    <w:p w14:paraId="E2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Расходы направлены на </w:t>
      </w:r>
      <w:r>
        <w:rPr>
          <w:rFonts w:ascii="Times New Roman" w:hAnsi="Times New Roman"/>
          <w:sz w:val="28"/>
        </w:rPr>
        <w:t>энергосбережение в организациях с участием государства или муниципального образования и повышение энергетической эффективности этих организации (установка, ремонт, замена, обслуживание источников наружного освещения на территории Шарангского муниципального округа)</w:t>
      </w:r>
      <w:r>
        <w:rPr>
          <w:rFonts w:ascii="Times New Roman" w:hAnsi="Times New Roman"/>
          <w:b w:val="0"/>
          <w:sz w:val="28"/>
        </w:rPr>
        <w:t>.</w:t>
      </w:r>
    </w:p>
    <w:p w14:paraId="E3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Доля расходов </w:t>
      </w:r>
      <w:r>
        <w:rPr>
          <w:rFonts w:ascii="Times New Roman" w:hAnsi="Times New Roman"/>
          <w:b w:val="0"/>
          <w:sz w:val="28"/>
        </w:rPr>
        <w:t>по муниципальной программе в общей сумме расходов муниципального бюджета составляет по плану и по кассовому исполнению -  0,2%.</w:t>
      </w:r>
    </w:p>
    <w:p w14:paraId="E4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Исполнение расходов осуществлялось 1 ГРБС - </w:t>
      </w:r>
      <w:r>
        <w:rPr>
          <w:rFonts w:ascii="Times New Roman" w:hAnsi="Times New Roman"/>
          <w:b w:val="0"/>
          <w:sz w:val="28"/>
        </w:rPr>
        <w:t>администрацией Шарангского муниципального округа.</w:t>
      </w:r>
    </w:p>
    <w:p w14:paraId="E5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данной программе присвоена удовлетворительная оценка эффективности ее реализации.</w:t>
      </w:r>
    </w:p>
    <w:p w14:paraId="E6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Муниципальная программа «Экология Шарангского муниципального округа на 2021-2025 годы»</w:t>
      </w:r>
      <w:r>
        <w:rPr>
          <w:rFonts w:ascii="Times New Roman" w:hAnsi="Times New Roman"/>
          <w:b w:val="0"/>
          <w:sz w:val="28"/>
        </w:rPr>
        <w:t>, расходы исполнены в сумме 359,7 тыс. рублей или 1,3% от уточненного годового плана (27 007,6 тыс. рублей)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b w:val="0"/>
          <w:sz w:val="28"/>
        </w:rPr>
        <w:t>что ниже, чем в среднем исполнение расходов по муниципальным программам (92,4%), в связи с отсутствием поступлений из областного бюджета.</w:t>
      </w:r>
    </w:p>
    <w:p w14:paraId="E7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Доля расходов </w:t>
      </w:r>
      <w:r>
        <w:rPr>
          <w:rFonts w:ascii="Times New Roman" w:hAnsi="Times New Roman"/>
          <w:b w:val="0"/>
          <w:sz w:val="28"/>
        </w:rPr>
        <w:t>по муниципальной программе в общей сумме расходов муниципального бюджета составляет по плану -2,1%, по кассовому исполнению – менее 0,1%.</w:t>
      </w:r>
    </w:p>
    <w:p w14:paraId="E8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Исполнение расходов осуществлялось 2 ГРБС:</w:t>
      </w:r>
    </w:p>
    <w:p w14:paraId="E9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</w:t>
      </w:r>
      <w:r>
        <w:rPr>
          <w:rFonts w:ascii="Times New Roman" w:hAnsi="Times New Roman"/>
          <w:b w:val="0"/>
          <w:sz w:val="28"/>
        </w:rPr>
        <w:t>администрацией Шарангского муниципального округа – 88,5% от кассовых расходов по муниципальной программе;</w:t>
      </w:r>
    </w:p>
    <w:p w14:paraId="EA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-управлением образования и молодежной политики администрации Шарангского муниципального округа Нижегородской области –11,5% от кассовых расходов по муниципальной программе.</w:t>
      </w:r>
    </w:p>
    <w:p w14:paraId="EB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Основное мероприятие данной муниципальной программы:</w:t>
      </w:r>
    </w:p>
    <w:p w14:paraId="EC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-п</w:t>
      </w:r>
      <w:r>
        <w:rPr>
          <w:rFonts w:ascii="Times New Roman" w:hAnsi="Times New Roman"/>
          <w:sz w:val="28"/>
        </w:rPr>
        <w:t>риобретение контейнеров и (или) бункеров – 80,0</w:t>
      </w:r>
      <w:r>
        <w:rPr>
          <w:rFonts w:ascii="Times New Roman" w:hAnsi="Times New Roman"/>
          <w:b w:val="0"/>
          <w:sz w:val="28"/>
        </w:rPr>
        <w:t xml:space="preserve"> тыс. рублей или 100,0% от утвержденного годового плана;</w:t>
      </w:r>
    </w:p>
    <w:p w14:paraId="ED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-экспертиза сметной документации по свалке – 5,7 т</w:t>
      </w:r>
      <w:r>
        <w:rPr>
          <w:rFonts w:ascii="Times New Roman" w:hAnsi="Times New Roman"/>
          <w:b w:val="0"/>
          <w:sz w:val="28"/>
        </w:rPr>
        <w:t>ыс. рублей или 100,0% от утвержденного годового плана;</w:t>
      </w:r>
    </w:p>
    <w:p w14:paraId="EE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-ликвидация свалок и объектов размещения отходов – 225,0 тыс.рублей или 1,1% от утвержд</w:t>
      </w:r>
      <w:r>
        <w:rPr>
          <w:rFonts w:ascii="Times New Roman" w:hAnsi="Times New Roman"/>
          <w:b w:val="0"/>
          <w:sz w:val="28"/>
        </w:rPr>
        <w:t>енного годового плана (21 386,3 тыс. рублей);</w:t>
      </w:r>
    </w:p>
    <w:p w14:paraId="EF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-у</w:t>
      </w:r>
      <w:r>
        <w:rPr>
          <w:rFonts w:ascii="Times New Roman" w:hAnsi="Times New Roman"/>
          <w:sz w:val="28"/>
        </w:rPr>
        <w:t>слуги по расчету платы за негативное воздействие на окружающую среду –49,0 тыс. рублей или 100,0% от утвержденного годового плана;</w:t>
      </w:r>
    </w:p>
    <w:p w14:paraId="F0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-р</w:t>
      </w:r>
      <w:r>
        <w:rPr>
          <w:rFonts w:ascii="Times New Roman" w:hAnsi="Times New Roman"/>
          <w:sz w:val="28"/>
        </w:rPr>
        <w:t xml:space="preserve">азработка проектной документации на ликвидацию (рекультивацию) свалок отходов – кассовых расходов при </w:t>
      </w:r>
      <w:r>
        <w:rPr>
          <w:rFonts w:ascii="Times New Roman" w:hAnsi="Times New Roman"/>
          <w:b w:val="0"/>
          <w:sz w:val="28"/>
        </w:rPr>
        <w:t xml:space="preserve">плане 5 485,2 тыс. рублей не было. </w:t>
      </w:r>
    </w:p>
    <w:p w14:paraId="F1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Согласно сводному отчету оценки эффективности муниципальных </w:t>
      </w:r>
      <w:r>
        <w:rPr>
          <w:rFonts w:ascii="Times New Roman" w:hAnsi="Times New Roman"/>
          <w:sz w:val="28"/>
        </w:rPr>
        <w:t>программ муниципального округа за 2025 год, данной программе присвоена высокая оценка эффективности ее реализации.</w:t>
      </w:r>
    </w:p>
    <w:p w14:paraId="F2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Муниципальная программа</w:t>
      </w:r>
      <w:r>
        <w:rPr>
          <w:rFonts w:ascii="Times New Roman" w:hAnsi="Times New Roman"/>
          <w:b w:val="1"/>
          <w:sz w:val="28"/>
        </w:rPr>
        <w:t xml:space="preserve"> «</w:t>
      </w:r>
      <w:r>
        <w:rPr>
          <w:rFonts w:ascii="Times New Roman" w:hAnsi="Times New Roman"/>
          <w:b w:val="1"/>
          <w:sz w:val="28"/>
        </w:rPr>
        <w:t>Предоставление граждан</w:t>
      </w:r>
      <w:r>
        <w:rPr>
          <w:rFonts w:ascii="Times New Roman" w:hAnsi="Times New Roman"/>
          <w:b w:val="1"/>
          <w:sz w:val="28"/>
        </w:rPr>
        <w:t>ам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утратившим жилые помещения в результате пожара, жилых помещений по договорам социального найма на период 2023-2025 годы</w:t>
      </w:r>
      <w:r>
        <w:rPr>
          <w:rFonts w:ascii="Times New Roman" w:hAnsi="Times New Roman"/>
          <w:b w:val="1"/>
          <w:sz w:val="28"/>
        </w:rPr>
        <w:t>»</w:t>
      </w:r>
      <w:r>
        <w:rPr>
          <w:rFonts w:ascii="Times New Roman" w:hAnsi="Times New Roman"/>
          <w:b w:val="0"/>
          <w:sz w:val="28"/>
        </w:rPr>
        <w:t>, расходы исполнены в сумме     1 606,5 тыс. рублей или 100,0% от уточненного годового плана.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Количество граждан, получивших жилые помещения по договорам социального найм – 2 человека.</w:t>
      </w:r>
    </w:p>
    <w:p w14:paraId="F3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Доля расходов </w:t>
      </w:r>
      <w:r>
        <w:rPr>
          <w:rFonts w:ascii="Times New Roman" w:hAnsi="Times New Roman"/>
          <w:b w:val="0"/>
          <w:sz w:val="28"/>
        </w:rPr>
        <w:t>по муниципальной программе в общей сумме расходов муниципального бюджета составляет по плану и по кассовому исполнению – 0,1%.</w:t>
      </w:r>
    </w:p>
    <w:p w14:paraId="F4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Исполнение расходов осуществлялось 1 ГРБС </w:t>
      </w:r>
      <w:r>
        <w:rPr>
          <w:rFonts w:ascii="Times New Roman" w:hAnsi="Times New Roman"/>
          <w:b w:val="0"/>
          <w:sz w:val="28"/>
        </w:rPr>
        <w:t xml:space="preserve">- </w:t>
      </w:r>
      <w:r>
        <w:rPr>
          <w:rFonts w:ascii="Times New Roman" w:hAnsi="Times New Roman"/>
          <w:b w:val="0"/>
          <w:sz w:val="28"/>
        </w:rPr>
        <w:t>администрацией Шарангского муниципального округа</w:t>
      </w:r>
      <w:r>
        <w:rPr>
          <w:rFonts w:ascii="Times New Roman" w:hAnsi="Times New Roman"/>
          <w:b w:val="0"/>
          <w:sz w:val="28"/>
        </w:rPr>
        <w:t>.</w:t>
      </w:r>
    </w:p>
    <w:p w14:paraId="F5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данной программе присвоена высокая оценка эффективности ее реализации.</w:t>
      </w:r>
    </w:p>
    <w:p w14:paraId="F6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Муниципальная программа «Снос расселенных многоквартирных жилых домов в Шарангском муниципальном округе Нижегородской области, признанных аварийными в период 1 января 2017г. до 1 января 2022г.»</w:t>
      </w:r>
      <w:r>
        <w:rPr>
          <w:rFonts w:ascii="Times New Roman" w:hAnsi="Times New Roman"/>
          <w:b w:val="0"/>
          <w:sz w:val="28"/>
        </w:rPr>
        <w:t xml:space="preserve">, расходы исполнены в сумме 24,0 тыс. рублей или 100,0% от уточненного годового плана. Основное мероприятие в 2025 году - организация и подготовка документации на снос расселенных многоквартирных </w:t>
      </w:r>
      <w:r>
        <w:rPr>
          <w:rFonts w:ascii="Times New Roman" w:hAnsi="Times New Roman"/>
          <w:sz w:val="28"/>
        </w:rPr>
        <w:t>жилых домов в Шарангском муниципальном округе Нижегородской области, признанных аварийными период 1 января 2017г. до 1 января 2022г</w:t>
      </w:r>
      <w:r>
        <w:rPr>
          <w:rFonts w:ascii="Times New Roman" w:hAnsi="Times New Roman"/>
          <w:b w:val="0"/>
          <w:sz w:val="28"/>
        </w:rPr>
        <w:t xml:space="preserve">.  </w:t>
      </w:r>
    </w:p>
    <w:p w14:paraId="F7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Доля расходов </w:t>
      </w:r>
      <w:r>
        <w:rPr>
          <w:rFonts w:ascii="Times New Roman" w:hAnsi="Times New Roman"/>
          <w:b w:val="0"/>
          <w:sz w:val="28"/>
        </w:rPr>
        <w:t>по муниципальной программе в общей сумме расходов муниципального бюджета составляет по плану и по кассовому исполнению менее 0,1%.</w:t>
      </w:r>
    </w:p>
    <w:p w14:paraId="F8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Исполнение расходов осуществлялось 1 ГРБС - </w:t>
      </w:r>
      <w:r>
        <w:rPr>
          <w:rFonts w:ascii="Times New Roman" w:hAnsi="Times New Roman"/>
          <w:b w:val="0"/>
          <w:sz w:val="28"/>
        </w:rPr>
        <w:t>администрацией Шарангского муниципального округа.</w:t>
      </w:r>
    </w:p>
    <w:p w14:paraId="F9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реализация мероприятия перенесена на 2026 год.</w:t>
      </w:r>
    </w:p>
    <w:p w14:paraId="FA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Муниципальная программа «Социальная поддержка граждан  Шарангского муниципального округа Нижегородской области на 2021-2025 годы»</w:t>
      </w:r>
      <w:r>
        <w:rPr>
          <w:rFonts w:ascii="Times New Roman" w:hAnsi="Times New Roman"/>
          <w:b w:val="0"/>
          <w:sz w:val="28"/>
        </w:rPr>
        <w:t xml:space="preserve">, расходы исполнены в сумме 324,3 тыс. рублей или 93,0% от уточненного годового плана (348,6 тыс. рублей), </w:t>
      </w:r>
      <w:r>
        <w:rPr>
          <w:rFonts w:ascii="Times New Roman" w:hAnsi="Times New Roman"/>
          <w:b w:val="0"/>
          <w:sz w:val="28"/>
        </w:rPr>
        <w:t>что выше, чем в среднем исполнение расходов по муниципальным программам (92,4%)</w:t>
      </w:r>
      <w:r>
        <w:rPr>
          <w:rFonts w:ascii="Times New Roman" w:hAnsi="Times New Roman"/>
          <w:b w:val="0"/>
          <w:sz w:val="28"/>
        </w:rPr>
        <w:t>.</w:t>
      </w:r>
    </w:p>
    <w:p w14:paraId="FB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Доля расходов </w:t>
      </w:r>
      <w:r>
        <w:rPr>
          <w:rFonts w:ascii="Times New Roman" w:hAnsi="Times New Roman"/>
          <w:b w:val="0"/>
          <w:sz w:val="28"/>
        </w:rPr>
        <w:t>по муниципальной программе в общей сумме расходов муниципального бюджета составляет по плану и по кассовому исполнению менее 0,1%.</w:t>
      </w:r>
    </w:p>
    <w:p w14:paraId="FC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Исполнение расходов осуществлялось 1 ГРБС - </w:t>
      </w:r>
      <w:r>
        <w:rPr>
          <w:rFonts w:ascii="Times New Roman" w:hAnsi="Times New Roman"/>
          <w:b w:val="0"/>
          <w:sz w:val="28"/>
        </w:rPr>
        <w:t>администрацией Шарангского муниципального округа.</w:t>
      </w:r>
    </w:p>
    <w:p w14:paraId="FD04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Основные мероприятия данной муниципальной программы:</w:t>
      </w:r>
    </w:p>
    <w:p w14:paraId="FE040000">
      <w:pPr>
        <w:pStyle w:val="Style_3"/>
        <w:numPr>
          <w:numId w:val="14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проведение мероприятий в области социальной политики по подпрограмме «Социальная поддержка семей» в сумме 155,5 тыс.рублей или 91,7% от уточненного годового плана (169,6 тыс.рублей);</w:t>
      </w:r>
    </w:p>
    <w:p w14:paraId="FF040000">
      <w:pPr>
        <w:pStyle w:val="Style_3"/>
        <w:numPr>
          <w:numId w:val="14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проведение мероприятий в области социальной политики по подпрограмме «Старшее поколение и социальная поддержка инвалидов» в сумме 147,6 тыс.рублей или 94,6% от уточненного годового плана (156,0 тыс.рублей);</w:t>
      </w:r>
    </w:p>
    <w:p w14:paraId="00050000">
      <w:pPr>
        <w:pStyle w:val="Style_3"/>
        <w:numPr>
          <w:numId w:val="14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проведение мероприятий в области социальной политики по подпрограмме «Ветераны боевых действий» в сумме 21,2 тыс.рублей или 92,2% от уточненного годового плана (23,0 тыс.рублей).</w:t>
      </w:r>
    </w:p>
    <w:p w14:paraId="01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данной программе присвоена высокая оценка эффективности ее реализации.</w:t>
      </w:r>
    </w:p>
    <w:p w14:paraId="02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Муниципальная программа «Профилактика преступлений и иных правонарушений в Шарангском муниципальном округе на 2021-2025 годы»</w:t>
      </w:r>
      <w:r>
        <w:rPr>
          <w:rFonts w:ascii="Times New Roman" w:hAnsi="Times New Roman"/>
          <w:b w:val="0"/>
          <w:sz w:val="28"/>
        </w:rPr>
        <w:t>, расходы исполнены в сумме 41,0 тыс. рублей или 56,2% от уточненного годового плана (73,0 тыс. рублей)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b w:val="0"/>
          <w:sz w:val="28"/>
        </w:rPr>
        <w:t>что ниже, чем в среднем исполнение расходов по муниципальным программам (92,4%), в связи с отсутствием потребности в средствах при проведении мероприятий по профилактике преступлений и иных мероприятий по профилактике преступлений и иных правонарушений в территориальных отделах муниципального округа и в управлении образования и молодежной политики муниципального округа.</w:t>
      </w:r>
    </w:p>
    <w:p w14:paraId="03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Доля расходов </w:t>
      </w:r>
      <w:r>
        <w:rPr>
          <w:rFonts w:ascii="Times New Roman" w:hAnsi="Times New Roman"/>
          <w:b w:val="0"/>
          <w:sz w:val="28"/>
        </w:rPr>
        <w:t>по муниципальной программе в общей сумме расходов муниципального бюджета составляет по плану и по кассовому исполнению менее 0,1%.</w:t>
      </w:r>
    </w:p>
    <w:p w14:paraId="04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Исполнение расходов осуществлялось 2 ГРБС:</w:t>
      </w:r>
    </w:p>
    <w:p w14:paraId="05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-управлением образования и молодежной политики администрации Шарангского муниципального округа Нижегородской области –97,6% от кассовых расходов по муниципальной программе.</w:t>
      </w:r>
    </w:p>
    <w:p w14:paraId="06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</w:t>
      </w:r>
      <w:r>
        <w:rPr>
          <w:rFonts w:ascii="Times New Roman" w:hAnsi="Times New Roman"/>
          <w:b w:val="0"/>
          <w:sz w:val="28"/>
        </w:rPr>
        <w:t>администрацией Шарангского муниципального округа – 2,4% от кассовых расходов по муниципальной программе</w:t>
      </w:r>
      <w:r>
        <w:rPr>
          <w:rFonts w:ascii="Times New Roman" w:hAnsi="Times New Roman"/>
          <w:b w:val="0"/>
          <w:sz w:val="28"/>
        </w:rPr>
        <w:t>.</w:t>
      </w:r>
    </w:p>
    <w:p w14:paraId="07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Основное мероприятие данной муниципальной программы</w:t>
      </w:r>
      <w:r>
        <w:rPr>
          <w:rFonts w:ascii="Times New Roman" w:hAnsi="Times New Roman"/>
          <w:b w:val="0"/>
          <w:sz w:val="28"/>
        </w:rPr>
        <w:t xml:space="preserve"> - м</w:t>
      </w:r>
      <w:r>
        <w:rPr>
          <w:rFonts w:ascii="Times New Roman" w:hAnsi="Times New Roman"/>
          <w:sz w:val="28"/>
        </w:rPr>
        <w:t>ероприятия по проблемам профилактики преступлений, злоупотреблений наркотическими веществами, организация конкурсов и викторин на правовые темы.</w:t>
      </w:r>
    </w:p>
    <w:p w14:paraId="08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данной программе присвоена высокая оценка эффективности ее реализации.</w:t>
      </w:r>
    </w:p>
    <w:p w14:paraId="09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Муниципальная программа «Профилактика безнадзорности и правонарушений несовершеннолетних в Шарангском муниципальном округе на 2024-2026 годы»</w:t>
      </w:r>
      <w:r>
        <w:rPr>
          <w:rFonts w:ascii="Times New Roman" w:hAnsi="Times New Roman"/>
          <w:b w:val="0"/>
          <w:sz w:val="28"/>
        </w:rPr>
        <w:t>, расходы исполнены в сумме 47,0 тыс. рублей или 100,0% от уточненного годового плана</w:t>
      </w:r>
      <w:r>
        <w:rPr>
          <w:rFonts w:ascii="Times New Roman" w:hAnsi="Times New Roman"/>
          <w:b w:val="0"/>
          <w:sz w:val="28"/>
        </w:rPr>
        <w:t xml:space="preserve"> и направлены на организацию конкурсов, соревнований и фестиваля по профилактике правонарушений и преступлений.</w:t>
      </w:r>
    </w:p>
    <w:p w14:paraId="0A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Доля расходов </w:t>
      </w:r>
      <w:r>
        <w:rPr>
          <w:rFonts w:ascii="Times New Roman" w:hAnsi="Times New Roman"/>
          <w:b w:val="0"/>
          <w:sz w:val="28"/>
        </w:rPr>
        <w:t>по муниципальной программе в общей сумме расходов муниципального бюджета составляет по плану и по кассовому исполнению менее 0,1%.</w:t>
      </w:r>
    </w:p>
    <w:p w14:paraId="0B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Исполнение расходов осуществлялось 1 ГРБС - </w:t>
      </w:r>
      <w:r>
        <w:rPr>
          <w:rFonts w:ascii="Times New Roman" w:hAnsi="Times New Roman"/>
          <w:b w:val="0"/>
          <w:sz w:val="28"/>
        </w:rPr>
        <w:t>администрацией Шарангского муниципального округа.</w:t>
      </w:r>
    </w:p>
    <w:p w14:paraId="0C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данной программе присвоена высокая оценка эффективности ее реализации.</w:t>
      </w:r>
    </w:p>
    <w:p w14:paraId="0D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Муниципальная программа «Противодействие коррупции в Шарангском муниципальном округе на 2021-2025 годы»</w:t>
      </w:r>
      <w:r>
        <w:rPr>
          <w:rFonts w:ascii="Times New Roman" w:hAnsi="Times New Roman"/>
          <w:b w:val="0"/>
          <w:sz w:val="28"/>
        </w:rPr>
        <w:t xml:space="preserve">, расходы исполнены в сумме 10,0 тыс. рублей или 100,0% от уточненного годового плана и направлены на организацию обучения по программе повышению квалификации. </w:t>
      </w:r>
    </w:p>
    <w:p w14:paraId="0E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Доля расходов </w:t>
      </w:r>
      <w:r>
        <w:rPr>
          <w:rFonts w:ascii="Times New Roman" w:hAnsi="Times New Roman"/>
          <w:b w:val="0"/>
          <w:sz w:val="28"/>
        </w:rPr>
        <w:t>по муниципальной программе в общей сумме расходов муниципального бюджета составляет по плану и по кассовому исполнению менее 0,1%.</w:t>
      </w:r>
    </w:p>
    <w:p w14:paraId="0F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Исполнение расходов осуществлялось 1 ГРБС - </w:t>
      </w:r>
      <w:r>
        <w:rPr>
          <w:rFonts w:ascii="Times New Roman" w:hAnsi="Times New Roman"/>
          <w:b w:val="0"/>
          <w:sz w:val="28"/>
        </w:rPr>
        <w:t>администрацией Шарангского муниципального округа.</w:t>
      </w:r>
    </w:p>
    <w:p w14:paraId="10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данной программе присвоена высокая оценка эффективности ее реализации.</w:t>
      </w:r>
    </w:p>
    <w:p w14:paraId="11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Муниципальная программа «Укрепление общественного здоровья населения Шарангского муниципального округа Нижегородской области на 2025-2027 годы»</w:t>
      </w:r>
      <w:r>
        <w:rPr>
          <w:rFonts w:ascii="Times New Roman" w:hAnsi="Times New Roman"/>
          <w:b w:val="0"/>
          <w:sz w:val="28"/>
        </w:rPr>
        <w:t>, расходы исполнены в сумме 10,0 тыс. рублей или 100,0% при уточненном годовом плане. Расходы направлены на мероприятия по укреплению общественного здоровья населения.</w:t>
      </w:r>
    </w:p>
    <w:p w14:paraId="12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Доля расходов </w:t>
      </w:r>
      <w:r>
        <w:rPr>
          <w:rFonts w:ascii="Times New Roman" w:hAnsi="Times New Roman"/>
          <w:b w:val="0"/>
          <w:sz w:val="28"/>
        </w:rPr>
        <w:t>по муниципальной программе в общей сумме расходов муниципального бюджета составляет по плану и по кассовому исполнению менее 0,1%.</w:t>
      </w:r>
    </w:p>
    <w:p w14:paraId="13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Исполнение расходов осуществлялось 1 ГРБС - </w:t>
      </w:r>
      <w:r>
        <w:rPr>
          <w:rFonts w:ascii="Times New Roman" w:hAnsi="Times New Roman"/>
          <w:b w:val="0"/>
          <w:sz w:val="28"/>
        </w:rPr>
        <w:t>администрацией Шарангского муниципального округа.</w:t>
      </w:r>
    </w:p>
    <w:p w14:paraId="14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Согласно сводному отчету оценки эффективности муниципальных программ муниципального округа за 2025 год, данной программе присвоена высокая оценка эффективности ее реализации.</w:t>
      </w:r>
    </w:p>
    <w:p w14:paraId="15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Финансирование в 2025 году по муниципальным программам «Обеспечение граждан Шарангского муниципального округа доступным и комфортным жильем на период 2024-2026 годы» и </w:t>
      </w:r>
      <w:r>
        <w:rPr>
          <w:rFonts w:ascii="Times New Roman" w:hAnsi="Times New Roman"/>
          <w:b w:val="0"/>
          <w:sz w:val="28"/>
        </w:rPr>
        <w:t xml:space="preserve">«Развитие предпринимательства в Шарангском муниципальном округе Нижегородской области на 2021-2025 годы» </w:t>
      </w:r>
      <w:r>
        <w:rPr>
          <w:rFonts w:ascii="Times New Roman" w:hAnsi="Times New Roman"/>
          <w:b w:val="0"/>
          <w:sz w:val="28"/>
        </w:rPr>
        <w:t>не предусмотрено.</w:t>
      </w:r>
    </w:p>
    <w:p w14:paraId="16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17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3.2. Непрограммные расходы</w:t>
      </w:r>
    </w:p>
    <w:p w14:paraId="18050000">
      <w:pPr>
        <w:pStyle w:val="Style_3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19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Расходы бюджета муниципального округа за 2025 год по непрограммным расходам исполнены в сумме 114 939,3 тыс.рублей (95,6% от уточненного плана 120 216,5 тыс. рублей), что выше, чем исполнение расходов по бюджету в целом (94,5%).</w:t>
      </w:r>
    </w:p>
    <w:p w14:paraId="1A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Удельный вес непрограммных расходов в общем объеме расходов за 2025 год составляет по плану и по кассовому исполнению - 9,3%.</w:t>
      </w:r>
    </w:p>
    <w:p w14:paraId="1B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 непрограммным направлениям деятельности отражаются следующие основные расходы:</w:t>
      </w:r>
    </w:p>
    <w:p w14:paraId="1C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</w:t>
      </w:r>
      <w:r>
        <w:rPr>
          <w:rFonts w:ascii="Times New Roman" w:hAnsi="Times New Roman"/>
          <w:b w:val="0"/>
          <w:sz w:val="28"/>
        </w:rPr>
        <w:t xml:space="preserve"> на расходы по обеспечению функций органов местного самоуправления –  57 310,9 тыс. рублей или 94,6% от плановых назначений (60 575,7 тыс. рублей);</w:t>
      </w:r>
    </w:p>
    <w:p w14:paraId="1D050000">
      <w:pPr>
        <w:pStyle w:val="Style_3"/>
        <w:numPr>
          <w:numId w:val="15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 содержание главы местного самоуправления –3 137,8 тыс. рублей или 99,1% от плановых назначений (3 165,9 тыс. рублей);</w:t>
      </w:r>
    </w:p>
    <w:p w14:paraId="1E050000">
      <w:pPr>
        <w:pStyle w:val="Style_3"/>
        <w:numPr>
          <w:numId w:val="15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 содержание председателя контрольно-счетной комиссии Шарангского муниципального округа Нижегородской области – 1 940,1 тыс. рублей или 99,2% от плановых назначений (1 954,9 тыс. рублей);</w:t>
      </w:r>
    </w:p>
    <w:p w14:paraId="1F050000">
      <w:pPr>
        <w:pStyle w:val="Style_3"/>
        <w:numPr>
          <w:numId w:val="15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 расходы учреждения по обеспечению хозяйственного обслуживания –     8 524,0 тыс. рублей или 99,7% от плановых назначений (8 553,4 тыс. рубле</w:t>
      </w:r>
      <w:r>
        <w:rPr>
          <w:rFonts w:ascii="Times New Roman" w:hAnsi="Times New Roman"/>
          <w:sz w:val="28"/>
        </w:rPr>
        <w:t>й);</w:t>
      </w:r>
    </w:p>
    <w:p w14:paraId="20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-на расходы за счет иных межбюджетных трансфертов на поощрени</w:t>
      </w:r>
      <w:r>
        <w:rPr>
          <w:rFonts w:ascii="Times New Roman" w:hAnsi="Times New Roman"/>
          <w:b w:val="0"/>
          <w:sz w:val="28"/>
        </w:rPr>
        <w:t xml:space="preserve">е </w:t>
      </w:r>
      <w:r>
        <w:rPr>
          <w:rFonts w:ascii="Times New Roman" w:hAnsi="Times New Roman"/>
          <w:sz w:val="28"/>
        </w:rPr>
        <w:t>региональной управленческой команды верхнего уровня в 2025 году (</w:t>
      </w:r>
      <w:r>
        <w:rPr>
          <w:rFonts w:ascii="Times New Roman" w:hAnsi="Times New Roman"/>
          <w:sz w:val="28"/>
        </w:rPr>
        <w:t>поощрение муниципальных управленческих команд)</w:t>
      </w:r>
      <w:r>
        <w:rPr>
          <w:rFonts w:ascii="Times New Roman" w:hAnsi="Times New Roman"/>
          <w:b w:val="0"/>
          <w:sz w:val="28"/>
        </w:rPr>
        <w:t xml:space="preserve"> – 2 063,9 </w:t>
      </w:r>
      <w:r>
        <w:rPr>
          <w:rFonts w:ascii="Times New Roman" w:hAnsi="Times New Roman"/>
          <w:b w:val="0"/>
          <w:sz w:val="28"/>
        </w:rPr>
        <w:t xml:space="preserve">тыс. рублей </w:t>
      </w:r>
      <w:r>
        <w:rPr>
          <w:rFonts w:ascii="Times New Roman" w:hAnsi="Times New Roman"/>
          <w:sz w:val="28"/>
        </w:rPr>
        <w:t>(100,0% от плановых назначений);</w:t>
      </w:r>
    </w:p>
    <w:p w14:paraId="21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-на осуществление полномочий по созданию и организации деятельности муниципальных комиссий по делам несовершеннолетних и защите их прав – 909,3 </w:t>
      </w:r>
      <w:r>
        <w:rPr>
          <w:rFonts w:ascii="Times New Roman" w:hAnsi="Times New Roman"/>
          <w:b w:val="0"/>
          <w:sz w:val="28"/>
        </w:rPr>
        <w:t xml:space="preserve">тыс. рублей </w:t>
      </w:r>
      <w:r>
        <w:rPr>
          <w:rFonts w:ascii="Times New Roman" w:hAnsi="Times New Roman"/>
          <w:sz w:val="28"/>
        </w:rPr>
        <w:t>(100,0% от плановых назначений);</w:t>
      </w:r>
    </w:p>
    <w:p w14:paraId="22050000">
      <w:pPr>
        <w:pStyle w:val="Style_3"/>
        <w:numPr>
          <w:numId w:val="16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на осуществление полномочий по организации и осуществлению деятельности по опеке и попечительству в отношении совершеннолетних граждан – 237,3 </w:t>
      </w:r>
      <w:r>
        <w:rPr>
          <w:rFonts w:ascii="Times New Roman" w:hAnsi="Times New Roman"/>
          <w:b w:val="0"/>
          <w:sz w:val="28"/>
        </w:rPr>
        <w:t xml:space="preserve">тыс. рублей </w:t>
      </w:r>
      <w:r>
        <w:rPr>
          <w:rFonts w:ascii="Times New Roman" w:hAnsi="Times New Roman"/>
          <w:sz w:val="28"/>
        </w:rPr>
        <w:t>(100,0% от плановых назначений);</w:t>
      </w:r>
    </w:p>
    <w:p w14:paraId="23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- на реализацию переданных исполнительно 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РФ – 6,5 тыс. рублей (100,0% от плановых назначений);</w:t>
      </w:r>
    </w:p>
    <w:p w14:paraId="24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осуществление полномочий по первичному воинскому учету органами местного самоуправления поселений, муниципальных и городских округов</w:t>
      </w:r>
      <w:r>
        <w:rPr>
          <w:rFonts w:ascii="Times New Roman" w:hAnsi="Times New Roman"/>
          <w:sz w:val="28"/>
        </w:rPr>
        <w:t xml:space="preserve"> - 844,7 тыс.рублей</w:t>
      </w:r>
      <w:r>
        <w:rPr>
          <w:rFonts w:ascii="Times New Roman" w:hAnsi="Times New Roman"/>
          <w:b w:val="0"/>
          <w:sz w:val="28"/>
        </w:rPr>
        <w:t xml:space="preserve"> (</w:t>
      </w:r>
      <w:r>
        <w:rPr>
          <w:rFonts w:ascii="Times New Roman" w:hAnsi="Times New Roman"/>
          <w:sz w:val="28"/>
        </w:rPr>
        <w:t>100,0% от плановых назначений</w:t>
      </w:r>
      <w:r>
        <w:rPr>
          <w:rFonts w:ascii="Times New Roman" w:hAnsi="Times New Roman"/>
          <w:b w:val="0"/>
          <w:sz w:val="28"/>
        </w:rPr>
        <w:t>);</w:t>
      </w:r>
    </w:p>
    <w:p w14:paraId="25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-на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уществление полномочий по организации мероприятий при осуществлении деятельности по обращению с животными без владельцев, а также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 – 168,7 тыс. рублей или 100,0% от плановых назначений;</w:t>
      </w:r>
    </w:p>
    <w:p w14:paraId="26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-средства фонда поддержки территорий –200,0 тыс. рублей</w:t>
      </w:r>
      <w:r>
        <w:rPr>
          <w:rFonts w:ascii="Times New Roman" w:hAnsi="Times New Roman"/>
          <w:sz w:val="28"/>
        </w:rPr>
        <w:t xml:space="preserve"> (100,0% от плановых назначений);</w:t>
      </w:r>
    </w:p>
    <w:p w14:paraId="27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-прочие выплаты по обязательствам муниципального образования – 2 203,0 тыс. рублей или 89,3% от плановых назначений (2 468,0 тыс. рублей);</w:t>
      </w:r>
    </w:p>
    <w:p w14:paraId="28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-на мероприятия в области коммунального хозяйства – 10 510,8 тыс. рублей или 90,0% от плановых назначений</w:t>
      </w:r>
      <w:r>
        <w:rPr>
          <w:rFonts w:ascii="Times New Roman" w:hAnsi="Times New Roman"/>
          <w:sz w:val="28"/>
        </w:rPr>
        <w:t xml:space="preserve"> (11 678,8 тыс.рублей)</w:t>
      </w:r>
      <w:r>
        <w:rPr>
          <w:rFonts w:ascii="Times New Roman" w:hAnsi="Times New Roman"/>
          <w:b w:val="0"/>
          <w:sz w:val="28"/>
        </w:rPr>
        <w:t>;</w:t>
      </w:r>
    </w:p>
    <w:p w14:paraId="29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-на мероприятия в области жилищного хозяйства –954,7 тыс.рублей или 72,4% от плановых назначений (1 319,4 тыс. рублей</w:t>
      </w:r>
      <w:r>
        <w:rPr>
          <w:rFonts w:ascii="Times New Roman" w:hAnsi="Times New Roman"/>
          <w:b w:val="0"/>
          <w:sz w:val="28"/>
        </w:rPr>
        <w:t>);</w:t>
      </w:r>
    </w:p>
    <w:p w14:paraId="2A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-на мероприятия в области социальной политики – 7 448,9 тыс. рублей или </w:t>
      </w:r>
      <w:r>
        <w:rPr>
          <w:rFonts w:ascii="Times New Roman" w:hAnsi="Times New Roman"/>
          <w:b w:val="0"/>
          <w:sz w:val="28"/>
        </w:rPr>
        <w:t>99,2</w:t>
      </w:r>
      <w:r>
        <w:rPr>
          <w:rFonts w:ascii="Times New Roman" w:hAnsi="Times New Roman"/>
          <w:sz w:val="28"/>
        </w:rPr>
        <w:t>%  от плановых назначений (7 512,7</w:t>
      </w:r>
      <w:r>
        <w:rPr>
          <w:rFonts w:ascii="Times New Roman" w:hAnsi="Times New Roman"/>
          <w:sz w:val="28"/>
        </w:rPr>
        <w:t xml:space="preserve"> тыс.рублей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b w:val="0"/>
          <w:sz w:val="28"/>
        </w:rPr>
        <w:t xml:space="preserve">; </w:t>
      </w:r>
    </w:p>
    <w:p w14:paraId="2B050000">
      <w:pPr>
        <w:pStyle w:val="Style_3"/>
        <w:numPr>
          <w:numId w:val="17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капитальный ремонт муниципального жилищного фонда – 177,2 тыс. рублей или 88,6% от плановых назначений (200,0 тыс. рублей);</w:t>
      </w:r>
    </w:p>
    <w:p w14:paraId="2C050000">
      <w:pPr>
        <w:pStyle w:val="Style_3"/>
        <w:numPr>
          <w:numId w:val="17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компенсация выпадающих доходов организациям, предоставляющим услуги водоснабжения и водоотведения по тарифам, не обеспечивающим возмещение издержек – 595,9 тыс. рублей</w:t>
      </w:r>
      <w:r>
        <w:rPr>
          <w:rFonts w:ascii="Times New Roman" w:hAnsi="Times New Roman"/>
          <w:b w:val="0"/>
          <w:sz w:val="28"/>
        </w:rPr>
        <w:t xml:space="preserve"> (</w:t>
      </w:r>
      <w:r>
        <w:rPr>
          <w:rFonts w:ascii="Times New Roman" w:hAnsi="Times New Roman"/>
          <w:sz w:val="28"/>
        </w:rPr>
        <w:t>100,0% от плановых назначений);</w:t>
      </w:r>
    </w:p>
    <w:p w14:paraId="2D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-средства резервного фонда Правительства Нижегородской области – 14 774,8 тыс.рублей или 99,7% </w:t>
      </w:r>
      <w:r>
        <w:rPr>
          <w:rFonts w:ascii="Times New Roman" w:hAnsi="Times New Roman"/>
          <w:sz w:val="28"/>
        </w:rPr>
        <w:t>от плановых назначений (14 821,5 тыс. рублей);</w:t>
      </w:r>
    </w:p>
    <w:p w14:paraId="2E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-на реализацию проекта инициативного бюджетирования «Вам решать» –       1 919,1тыс. рублей или </w:t>
      </w:r>
      <w:r>
        <w:rPr>
          <w:rFonts w:ascii="Times New Roman" w:hAnsi="Times New Roman"/>
          <w:sz w:val="28"/>
        </w:rPr>
        <w:t>99,5% от плановых назначений (1 928,2 тыс. рублей);</w:t>
      </w:r>
    </w:p>
    <w:p w14:paraId="2F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</w:t>
      </w:r>
      <w:r>
        <w:rPr>
          <w:rFonts w:ascii="Times New Roman" w:hAnsi="Times New Roman"/>
          <w:sz w:val="28"/>
        </w:rPr>
        <w:t xml:space="preserve"> на поощрение за достижение наилучших </w:t>
      </w:r>
      <w:r>
        <w:rPr>
          <w:rFonts w:ascii="Times New Roman" w:hAnsi="Times New Roman"/>
          <w:sz w:val="28"/>
        </w:rPr>
        <w:t>значений показателей эффективности деятельности органов местного самоуправления муниципальных</w:t>
      </w:r>
      <w:r>
        <w:rPr>
          <w:rFonts w:ascii="Times New Roman" w:hAnsi="Times New Roman"/>
          <w:sz w:val="28"/>
        </w:rPr>
        <w:t xml:space="preserve"> округов, городских округов Нижегородской области</w:t>
      </w:r>
      <w:r>
        <w:rPr>
          <w:rFonts w:ascii="Times New Roman" w:hAnsi="Times New Roman"/>
          <w:b w:val="0"/>
          <w:sz w:val="28"/>
        </w:rPr>
        <w:t xml:space="preserve"> 720,0</w:t>
      </w:r>
      <w:r>
        <w:rPr>
          <w:rFonts w:ascii="Times New Roman" w:hAnsi="Times New Roman"/>
          <w:b w:val="0"/>
          <w:sz w:val="28"/>
        </w:rPr>
        <w:t xml:space="preserve"> тыс. рублей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(100,0% от плановых назначений);</w:t>
      </w:r>
    </w:p>
    <w:p w14:paraId="30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-на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- 2,5 тыс. рублей </w:t>
      </w:r>
      <w:r>
        <w:rPr>
          <w:rFonts w:ascii="Times New Roman" w:hAnsi="Times New Roman"/>
          <w:b w:val="0"/>
          <w:sz w:val="28"/>
        </w:rPr>
        <w:t>(</w:t>
      </w:r>
      <w:r>
        <w:rPr>
          <w:rFonts w:ascii="Times New Roman" w:hAnsi="Times New Roman"/>
          <w:sz w:val="28"/>
        </w:rPr>
        <w:t>100,0% от плановых назначений)</w:t>
      </w:r>
      <w:r>
        <w:rPr>
          <w:rFonts w:ascii="Times New Roman" w:hAnsi="Times New Roman"/>
          <w:sz w:val="28"/>
        </w:rPr>
        <w:t>;</w:t>
      </w:r>
    </w:p>
    <w:p w14:paraId="31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-на разработку программ комплексного развития систем коммунальной, транспортной, социальной инфраструктуры- 121,9</w:t>
      </w:r>
      <w:r>
        <w:rPr>
          <w:rFonts w:ascii="Times New Roman" w:hAnsi="Times New Roman"/>
          <w:b w:val="0"/>
          <w:sz w:val="28"/>
        </w:rPr>
        <w:t xml:space="preserve"> тыс. рублей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(100,0% от плановых назначений);</w:t>
      </w:r>
    </w:p>
    <w:p w14:paraId="32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-субсидия отдельным общественным организациям и иным некоммерческим объединениям – 167,4 тыс. рублей или 100,0% от плановых назначений.</w:t>
      </w:r>
    </w:p>
    <w:p w14:paraId="33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34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3.3. Национальные проекты</w:t>
      </w:r>
    </w:p>
    <w:p w14:paraId="35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36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отчетном периоде муниципальный округ участвовал в реализации мероприятий в рамках трех национальных проектов:</w:t>
      </w:r>
    </w:p>
    <w:p w14:paraId="37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-национальный проект «Молодежь и дети»;</w:t>
      </w:r>
    </w:p>
    <w:p w14:paraId="38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-национальный проект «Беспилотные авиационные системы»;</w:t>
      </w:r>
    </w:p>
    <w:p w14:paraId="39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-национальный проект «Инфраструктура для жизни».</w:t>
      </w:r>
    </w:p>
    <w:p w14:paraId="3A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об исполнении расходов муниципального округа по национальным проектам представлена в таблице 18:</w:t>
      </w:r>
    </w:p>
    <w:p w14:paraId="3B050000">
      <w:pPr>
        <w:pStyle w:val="Style_3"/>
        <w:spacing w:after="0" w:line="240" w:lineRule="auto"/>
        <w:ind w:firstLine="567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18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440"/>
        <w:gridCol w:w="1500"/>
        <w:gridCol w:w="1541"/>
        <w:gridCol w:w="1443"/>
      </w:tblGrid>
      <w:t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наименование  </w:t>
            </w:r>
          </w:p>
          <w:p w14:paraId="3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национального проекта</w:t>
            </w:r>
          </w:p>
        </w:tc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уточненный план,</w:t>
            </w:r>
          </w:p>
          <w:p w14:paraId="3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тыс. рублей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исполнение, тыс. рублей</w:t>
            </w: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исполнение к плану, </w:t>
            </w:r>
          </w:p>
          <w:p w14:paraId="4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%</w:t>
            </w:r>
          </w:p>
        </w:tc>
      </w:tr>
      <w:t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50000">
            <w:pPr>
              <w:spacing w:after="0" w:line="240" w:lineRule="auto"/>
              <w:ind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«Молодежь и дети», в том числе:</w:t>
            </w:r>
          </w:p>
        </w:tc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15 981,2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15 981,2</w:t>
            </w: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</w:tr>
      <w:tr>
        <w:trPr>
          <w:trHeight w:hRule="atLeast" w:val="1527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5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14 217,9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14 217,9</w:t>
            </w: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</w:tr>
      <w:tr>
        <w:trPr>
          <w:trHeight w:hRule="atLeast" w:val="1004"/>
        </w:trP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ежемесячное денежное вознаграждение с</w:t>
            </w:r>
            <w:r>
              <w:rPr>
                <w:rFonts w:ascii="Times New Roman" w:hAnsi="Times New Roman"/>
                <w:color w:val="000000"/>
                <w:sz w:val="22"/>
              </w:rPr>
              <w:t>оветников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546,8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546,8</w:t>
            </w: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</w:tr>
      <w:t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1 216,6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1 216,6</w:t>
            </w: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</w:tr>
      <w:t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50000">
            <w:pPr>
              <w:spacing w:after="0" w:line="240" w:lineRule="auto"/>
              <w:ind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«Беспилотные авиационные системы», в том числе:</w:t>
            </w:r>
          </w:p>
        </w:tc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5 344 ,6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5 344,6</w:t>
            </w: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</w:tr>
      <w:t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5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</w:rPr>
              <w:t xml:space="preserve">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 </w:t>
            </w:r>
          </w:p>
        </w:tc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5 344,6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5 344,6</w:t>
            </w: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100,0</w:t>
            </w:r>
          </w:p>
        </w:tc>
      </w:tr>
      <w:t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50000">
            <w:pPr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«Инфраструктура для жизни», в том числе:</w:t>
            </w:r>
          </w:p>
        </w:tc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194 073,9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194 064,8</w:t>
            </w: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</w:tr>
      <w:t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5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зоны отдыха ул. Победы, 29 в р.п. Шаранга</w:t>
            </w:r>
          </w:p>
        </w:tc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5 796,2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5 787,1</w:t>
            </w: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99,8</w:t>
            </w:r>
          </w:p>
        </w:tc>
      </w:tr>
      <w:t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5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реконструкция водопроводных сетей в р.п.Шаранга Шарангского района Нижегородской области</w:t>
            </w:r>
          </w:p>
        </w:tc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181 104,6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181 104,6</w:t>
            </w: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100,0</w:t>
            </w:r>
          </w:p>
        </w:tc>
      </w:tr>
      <w:t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переселение граждан из аварийного жилищного фонда за счет средств публично - правовой компании "Фонд развития территорий"</w:t>
            </w:r>
          </w:p>
        </w:tc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3 188,8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3 188,8</w:t>
            </w: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100,0</w:t>
            </w:r>
          </w:p>
        </w:tc>
      </w:tr>
      <w:t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5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</w:rPr>
              <w:t xml:space="preserve">переселение граждан из аварийного жилищного фонда </w:t>
            </w:r>
          </w:p>
        </w:tc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3 560,0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3 560,0</w:t>
            </w: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100,0</w:t>
            </w:r>
          </w:p>
        </w:tc>
      </w:tr>
      <w:t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5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 из аварийного жилищного фонда, признанного таковым с 1 января 2017 г. до 1 января 2022 г."</w:t>
            </w:r>
          </w:p>
        </w:tc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424,3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424,3</w:t>
            </w: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100,0</w:t>
            </w:r>
          </w:p>
        </w:tc>
      </w:tr>
      <w:tr>
        <w:tc>
          <w:tcPr>
            <w:tcW w:type="dxa" w:w="5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5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Итого </w:t>
            </w:r>
          </w:p>
        </w:tc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215 399,7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215 390,6</w:t>
            </w: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</w:tr>
    </w:tbl>
    <w:p w14:paraId="77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78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Кассовые расходы на реализацию национальных проектов в 2025 году составили 215 390,6 тыс. рублей, в том числе за счет федерального бюджета        135 028,4 тыс.рублей, за счет средств областного бюджета 79 033,7 тыс. рублей, за счет местного бюджета 1 328,5 тыс. рублей.</w:t>
      </w:r>
    </w:p>
    <w:p w14:paraId="79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2025 году плановые назначения исполнены на 100% по всем национальным проектам. </w:t>
      </w:r>
    </w:p>
    <w:p w14:paraId="7A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В общем объеме финансирования национальных проектов в 2025 году 90,1</w:t>
      </w:r>
      <w:r>
        <w:rPr>
          <w:rFonts w:ascii="Times New Roman" w:hAnsi="Times New Roman"/>
          <w:sz w:val="28"/>
        </w:rPr>
        <w:t>% приходится на национальный проект «Инфраструктура для жизни», 7,4</w:t>
      </w:r>
      <w:r>
        <w:rPr>
          <w:rFonts w:ascii="Times New Roman" w:hAnsi="Times New Roman"/>
          <w:sz w:val="28"/>
        </w:rPr>
        <w:t>% приходится на национальный проект</w:t>
      </w:r>
      <w:r>
        <w:rPr>
          <w:rFonts w:ascii="Times New Roman" w:hAnsi="Times New Roman"/>
          <w:b w:val="0"/>
          <w:sz w:val="28"/>
        </w:rPr>
        <w:t xml:space="preserve"> «</w:t>
      </w:r>
      <w:r>
        <w:rPr>
          <w:rFonts w:ascii="Times New Roman" w:hAnsi="Times New Roman"/>
          <w:b w:val="0"/>
          <w:i w:val="0"/>
          <w:color w:val="000000"/>
          <w:sz w:val="28"/>
        </w:rPr>
        <w:t>Молодежь и дети</w:t>
      </w:r>
      <w:r>
        <w:rPr>
          <w:rFonts w:ascii="Times New Roman" w:hAnsi="Times New Roman"/>
          <w:b w:val="0"/>
          <w:sz w:val="28"/>
        </w:rPr>
        <w:t>»,</w:t>
      </w:r>
      <w:r>
        <w:rPr>
          <w:rFonts w:ascii="Times New Roman" w:hAnsi="Times New Roman"/>
          <w:sz w:val="28"/>
        </w:rPr>
        <w:t xml:space="preserve"> 2,5%- на национальный проект</w:t>
      </w:r>
      <w:r>
        <w:rPr>
          <w:rFonts w:ascii="Times New Roman" w:hAnsi="Times New Roman"/>
          <w:b w:val="0"/>
          <w:sz w:val="28"/>
        </w:rPr>
        <w:t xml:space="preserve"> «</w:t>
      </w:r>
      <w:r>
        <w:rPr>
          <w:rFonts w:ascii="Times New Roman" w:hAnsi="Times New Roman"/>
          <w:b w:val="0"/>
          <w:i w:val="0"/>
          <w:color w:val="000000"/>
          <w:sz w:val="28"/>
        </w:rPr>
        <w:t>Беспилотные авиационные системы</w:t>
      </w:r>
      <w:r>
        <w:rPr>
          <w:rFonts w:ascii="Times New Roman" w:hAnsi="Times New Roman"/>
          <w:b w:val="0"/>
          <w:sz w:val="28"/>
        </w:rPr>
        <w:t>».</w:t>
      </w:r>
    </w:p>
    <w:p w14:paraId="7B050000">
      <w:pPr>
        <w:pStyle w:val="Style_3"/>
        <w:spacing w:line="240" w:lineRule="auto"/>
        <w:ind w:firstLine="0" w:left="567"/>
        <w:jc w:val="center"/>
        <w:rPr>
          <w:rFonts w:ascii="Times New Roman" w:hAnsi="Times New Roman"/>
          <w:b w:val="1"/>
          <w:sz w:val="28"/>
        </w:rPr>
      </w:pPr>
    </w:p>
    <w:p w14:paraId="7C050000">
      <w:pPr>
        <w:pStyle w:val="Style_3"/>
        <w:spacing w:line="240" w:lineRule="auto"/>
        <w:ind w:firstLine="0" w:left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Дорожный фонд</w:t>
      </w:r>
    </w:p>
    <w:p w14:paraId="7D050000">
      <w:pPr>
        <w:pStyle w:val="Style_3"/>
        <w:spacing w:line="240" w:lineRule="auto"/>
        <w:ind w:firstLine="0" w:left="567"/>
        <w:jc w:val="both"/>
        <w:rPr>
          <w:rFonts w:ascii="Times New Roman" w:hAnsi="Times New Roman"/>
          <w:sz w:val="28"/>
        </w:rPr>
      </w:pPr>
    </w:p>
    <w:p w14:paraId="7E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Поступления дорожного фонда по доходам.</w:t>
      </w:r>
    </w:p>
    <w:p w14:paraId="7F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Поступления в дорожный фонд за 2025 год сформированы в сумме 40 813,7  тыс.рублей или 102,4% от годовых плановых назначений.</w:t>
      </w:r>
    </w:p>
    <w:p w14:paraId="80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об исполнении дорожного фонда по доходам представлена в таблице 19:</w:t>
      </w:r>
    </w:p>
    <w:p w14:paraId="81050000">
      <w:pPr>
        <w:pStyle w:val="Style_3"/>
        <w:spacing w:after="0" w:line="240" w:lineRule="auto"/>
        <w:ind w:firstLine="567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19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564"/>
        <w:gridCol w:w="1940"/>
        <w:gridCol w:w="1656"/>
        <w:gridCol w:w="1764"/>
      </w:tblGrid>
      <w:tr>
        <w:trPr>
          <w:trHeight w:hRule="atLeast" w:val="360"/>
        </w:trPr>
        <w:tc>
          <w:tcPr>
            <w:tcW w:type="dxa" w:w="4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5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type="dxa" w:w="19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5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уточненный план, тыс. рублей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5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исполнение, тыс. рублей</w:t>
            </w:r>
          </w:p>
        </w:tc>
        <w:tc>
          <w:tcPr>
            <w:tcW w:type="dxa" w:w="17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5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 исполнения к году</w:t>
            </w:r>
          </w:p>
        </w:tc>
      </w:tr>
      <w:tr>
        <w:trPr>
          <w:trHeight w:hRule="atLeast" w:val="360"/>
        </w:trPr>
        <w:tc>
          <w:tcPr>
            <w:tcW w:type="dxa" w:w="4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Остатки на начало года</w:t>
            </w:r>
          </w:p>
        </w:tc>
        <w:tc>
          <w:tcPr>
            <w:tcW w:type="dxa" w:w="19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5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6 552,6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5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6 552,6</w:t>
            </w:r>
          </w:p>
        </w:tc>
        <w:tc>
          <w:tcPr>
            <w:tcW w:type="dxa" w:w="17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5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>
        <w:trPr>
          <w:trHeight w:hRule="atLeast" w:val="360"/>
        </w:trPr>
        <w:tc>
          <w:tcPr>
            <w:tcW w:type="dxa" w:w="4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Акцизы по подакцизным товарам</w:t>
            </w:r>
          </w:p>
        </w:tc>
        <w:tc>
          <w:tcPr>
            <w:tcW w:type="dxa" w:w="19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5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15 483,9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5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15 286,6</w:t>
            </w:r>
          </w:p>
        </w:tc>
        <w:tc>
          <w:tcPr>
            <w:tcW w:type="dxa" w:w="17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5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98,7</w:t>
            </w:r>
          </w:p>
        </w:tc>
      </w:tr>
      <w:tr>
        <w:trPr>
          <w:trHeight w:hRule="atLeast" w:val="360"/>
        </w:trPr>
        <w:tc>
          <w:tcPr>
            <w:tcW w:type="dxa" w:w="4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type="dxa" w:w="19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5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18 162,4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5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18 162,4</w:t>
            </w:r>
          </w:p>
        </w:tc>
        <w:tc>
          <w:tcPr>
            <w:tcW w:type="dxa" w:w="17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5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>
        <w:trPr>
          <w:trHeight w:hRule="atLeast" w:val="360"/>
        </w:trPr>
        <w:tc>
          <w:tcPr>
            <w:tcW w:type="dxa" w:w="4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50000">
            <w:pPr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</w:t>
            </w:r>
            <w:r>
              <w:rPr>
                <w:rFonts w:ascii="Times New Roman" w:hAnsi="Times New Roman"/>
                <w:b w:val="1"/>
              </w:rPr>
              <w:t>того</w:t>
            </w:r>
          </w:p>
        </w:tc>
        <w:tc>
          <w:tcPr>
            <w:tcW w:type="dxa" w:w="19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40 198,9</w:t>
            </w:r>
          </w:p>
        </w:tc>
        <w:tc>
          <w:tcPr>
            <w:tcW w:type="dxa" w:w="1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40 001,6</w:t>
            </w:r>
          </w:p>
        </w:tc>
        <w:tc>
          <w:tcPr>
            <w:tcW w:type="dxa" w:w="17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99,5</w:t>
            </w:r>
          </w:p>
        </w:tc>
      </w:tr>
    </w:tbl>
    <w:p w14:paraId="96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 году переходящие остатки неиспользованных ассигнований (6 552,6 тыс. рублей) составили 16,3% плановых бюджетных назначений.</w:t>
      </w:r>
    </w:p>
    <w:p w14:paraId="97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Поступление налоговых доходов в сумме 15 286,6 тыс. рублей составило 98,7% от плана (15 483,9 тыс. рублей) и на 4,2% превысило поступление 2024 года (14 673,1 тыс.рублей).</w:t>
      </w:r>
    </w:p>
    <w:p w14:paraId="98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Безвозмездные поступления от других бюджетов бюджетной системы РФ исполнены в сумме 18 162,4 тыс. рублей или 100,0% плановых назначений.</w:t>
      </w:r>
    </w:p>
    <w:p w14:paraId="99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Исполнение дорожного фонда по расходам.</w:t>
      </w:r>
    </w:p>
    <w:p w14:paraId="9A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 целом расходы дорожного фонда исполнены в сумме 37 307,4 тыс. рублей или 92,8% к плановым ассигнованиям (40 198,9 тыс. рублей).</w:t>
      </w:r>
    </w:p>
    <w:p w14:paraId="9B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Остаток неисполненных ассигнований на конец отчетного периода составил 2 891,5 тыс. рублей, в том числе:</w:t>
      </w:r>
    </w:p>
    <w:p w14:paraId="9C050000">
      <w:pPr>
        <w:pStyle w:val="Style_3"/>
        <w:numPr>
          <w:numId w:val="18"/>
        </w:numPr>
        <w:spacing w:line="240" w:lineRule="auto"/>
        <w:ind w:firstLine="567" w:left="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 сумме 2 771,5 тыс.рублей по содержанию автомобильных дорог общего пользования;</w:t>
      </w:r>
    </w:p>
    <w:p w14:paraId="9D050000">
      <w:pPr>
        <w:pStyle w:val="Style_3"/>
        <w:numPr>
          <w:numId w:val="18"/>
        </w:numPr>
        <w:spacing w:line="240" w:lineRule="auto"/>
        <w:ind w:firstLine="567" w:left="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 сумме 120,0 тыс. рублей по прочим расходам на переоборудование дорожной техники за счет средств местного бюджета.</w:t>
      </w:r>
    </w:p>
    <w:p w14:paraId="9E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Остаток по дорожному фонду на 01.01.2026 г. составил 2 694,1 тыс. рублей, которые подлежат использованию в 2026 году (статья 179.4 Бюджетного кодекса РФ).</w:t>
      </w:r>
    </w:p>
    <w:p w14:paraId="9F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i w:val="0"/>
          <w:sz w:val="28"/>
        </w:rPr>
      </w:pPr>
    </w:p>
    <w:p w14:paraId="A0050000">
      <w:pPr>
        <w:pStyle w:val="Style_3"/>
        <w:spacing w:line="240" w:lineRule="auto"/>
        <w:ind w:firstLine="0" w:left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Резервный фонд</w:t>
      </w:r>
    </w:p>
    <w:p w14:paraId="A1050000">
      <w:pPr>
        <w:pStyle w:val="Style_3"/>
        <w:spacing w:line="240" w:lineRule="auto"/>
        <w:ind w:firstLine="0" w:left="567"/>
        <w:jc w:val="both"/>
        <w:rPr>
          <w:rFonts w:ascii="Times New Roman" w:hAnsi="Times New Roman"/>
          <w:b w:val="1"/>
          <w:sz w:val="28"/>
        </w:rPr>
      </w:pPr>
    </w:p>
    <w:p w14:paraId="A2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Первоначальным решением о бюджете муниципального округа (статья 8) на текущий финансовый год резервный фонд администрации муниципального округа утвержден в сумме 2 000,0 тыс. рублей, что составило 0,2% от утвержденного общего объема расходов (1 015 738,0 тыс. рублей). </w:t>
      </w:r>
    </w:p>
    <w:p w14:paraId="A3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течение отчетного периода плановые бюджетные ассигнования резервного фонда были уменьшены на сумму 900,0 тыс. рублей (решение Совета депутатов № 103 от 23.12.2025г.) и составили 1 100,0 тыс. рублей.</w:t>
      </w:r>
    </w:p>
    <w:p w14:paraId="A4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Расходование средств резервного фонда, согласно представленному отчету об использовании ассигнований резервного фонда администрации Шарангского муниципального округа на 01 января 2026 г. осуществлялось на основании постановлений администрации Шарангского муниципального округа.</w:t>
      </w:r>
    </w:p>
    <w:p w14:paraId="A5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Вся сумма кассовых расходов резервного фонда 1 059,8 тыс. рублей была направлена на социальную помощь семьям лиц, погибших при выполнении задач в ходе специальной военной операции.</w:t>
      </w:r>
    </w:p>
    <w:p w14:paraId="A6050000">
      <w:pPr>
        <w:spacing w:after="0" w:line="240" w:lineRule="auto"/>
        <w:ind w:firstLine="567" w:left="0"/>
        <w:contextualSpacing w:val="1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sz w:val="28"/>
        </w:rPr>
        <w:t>6. Финансирование деятельности муниципальных бюджетных и автономных учреждений</w:t>
      </w:r>
    </w:p>
    <w:p w14:paraId="A7050000">
      <w:pPr>
        <w:spacing w:after="0" w:line="240" w:lineRule="auto"/>
        <w:ind w:firstLine="567" w:left="0"/>
        <w:contextualSpacing w:val="1"/>
        <w:jc w:val="center"/>
        <w:rPr>
          <w:rFonts w:ascii="Times New Roman" w:hAnsi="Times New Roman"/>
          <w:i w:val="0"/>
          <w:sz w:val="28"/>
        </w:rPr>
      </w:pPr>
    </w:p>
    <w:p w14:paraId="A805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sz w:val="28"/>
        </w:rPr>
        <w:t xml:space="preserve">По состоянию на 01.10.2026 на территории Шарангского муниципального округа функционировало 30 муниципальных учреждений, в том числе 27 муниципальных бюджетных учреждений и 3 муниципальных автономных учреждений. </w:t>
      </w:r>
    </w:p>
    <w:p w14:paraId="A905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ст. 69.2 Бюджетного кодекса РФ для бюджетных и автономных учреждений формируется муниципальное задание. </w:t>
      </w:r>
      <w:r>
        <w:rPr>
          <w:rFonts w:ascii="Times New Roman" w:hAnsi="Times New Roman"/>
          <w:sz w:val="28"/>
        </w:rPr>
        <w:t xml:space="preserve">Финансовое обеспечение выполнения муниципального задания осуществляется за счет средств соответствующего бюджета бюджетной системы. </w:t>
      </w:r>
    </w:p>
    <w:p w14:paraId="AA05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sz w:val="28"/>
        </w:rPr>
        <w:t>За 2025 год исполнение плана финансово-хозяйственной деятельности бюджетными и автономными учреждениями по видам финансового обеспечения их деятельности сложилось следующее:</w:t>
      </w:r>
    </w:p>
    <w:p w14:paraId="AB05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i w:val="0"/>
          <w:sz w:val="28"/>
        </w:rPr>
      </w:pPr>
    </w:p>
    <w:tbl>
      <w:tblPr>
        <w:tblStyle w:val="Style_2"/>
        <w:tblInd w:type="dxa" w:w="0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58"/>
        <w:gridCol w:w="1200"/>
        <w:gridCol w:w="1188"/>
        <w:gridCol w:w="876"/>
        <w:gridCol w:w="1222"/>
        <w:gridCol w:w="1128"/>
        <w:gridCol w:w="852"/>
      </w:tblGrid>
      <w:tr>
        <w:tc>
          <w:tcPr>
            <w:tcW w:type="dxa" w:w="345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5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Наименование</w:t>
            </w:r>
          </w:p>
        </w:tc>
        <w:tc>
          <w:tcPr>
            <w:tcW w:type="dxa" w:w="326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5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ДОХОДЫ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(тыс.рублей)</w:t>
            </w:r>
          </w:p>
        </w:tc>
        <w:tc>
          <w:tcPr>
            <w:tcW w:type="dxa" w:w="320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5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РАСХОДЫ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(тыс.рублей)</w:t>
            </w:r>
          </w:p>
        </w:tc>
      </w:tr>
      <w:tr>
        <w:trPr>
          <w:trHeight w:hRule="atLeast" w:val="546"/>
        </w:trPr>
        <w:tc>
          <w:tcPr>
            <w:tcW w:type="dxa" w:w="345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5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план</w:t>
            </w:r>
          </w:p>
        </w:tc>
        <w:tc>
          <w:tcPr>
            <w:tcW w:type="dxa" w:w="1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5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исполнено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5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% от плана</w:t>
            </w:r>
          </w:p>
        </w:tc>
        <w:tc>
          <w:tcPr>
            <w:tcW w:type="dxa" w:w="1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5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план*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5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исполнено</w:t>
            </w:r>
          </w:p>
        </w:tc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5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% от плана</w:t>
            </w:r>
          </w:p>
        </w:tc>
      </w:tr>
      <w:tr>
        <w:tc>
          <w:tcPr>
            <w:tcW w:type="dxa" w:w="34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5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Субсидии на выполнение муниципального задания</w:t>
            </w:r>
          </w:p>
        </w:tc>
        <w:tc>
          <w:tcPr>
            <w:tcW w:type="dxa" w:w="1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5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554 365,4</w:t>
            </w:r>
          </w:p>
        </w:tc>
        <w:tc>
          <w:tcPr>
            <w:tcW w:type="dxa" w:w="1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5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554 365,4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5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type="dxa" w:w="1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5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589 141,0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5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565 378,8</w:t>
            </w:r>
          </w:p>
        </w:tc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5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96,0</w:t>
            </w:r>
          </w:p>
        </w:tc>
      </w:tr>
      <w:tr>
        <w:trPr>
          <w:trHeight w:hRule="atLeast" w:val="412"/>
        </w:trPr>
        <w:tc>
          <w:tcPr>
            <w:tcW w:type="dxa" w:w="34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5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Субсидии на иные цели</w:t>
            </w:r>
          </w:p>
        </w:tc>
        <w:tc>
          <w:tcPr>
            <w:tcW w:type="dxa" w:w="1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5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67 276,7</w:t>
            </w:r>
          </w:p>
        </w:tc>
        <w:tc>
          <w:tcPr>
            <w:tcW w:type="dxa" w:w="1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5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66 116,8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5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98,3</w:t>
            </w:r>
          </w:p>
        </w:tc>
        <w:tc>
          <w:tcPr>
            <w:tcW w:type="dxa" w:w="1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5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67 276,7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5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65 229,0</w:t>
            </w:r>
          </w:p>
        </w:tc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5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97,0</w:t>
            </w:r>
          </w:p>
        </w:tc>
      </w:tr>
      <w:tr>
        <w:tc>
          <w:tcPr>
            <w:tcW w:type="dxa" w:w="34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5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</w:t>
            </w:r>
          </w:p>
        </w:tc>
        <w:tc>
          <w:tcPr>
            <w:tcW w:type="dxa" w:w="1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5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621 642,1</w:t>
            </w:r>
          </w:p>
        </w:tc>
        <w:tc>
          <w:tcPr>
            <w:tcW w:type="dxa" w:w="1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5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620 482,2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5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99,8</w:t>
            </w:r>
          </w:p>
        </w:tc>
        <w:tc>
          <w:tcPr>
            <w:tcW w:type="dxa" w:w="1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5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656 417,7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5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630 607,8</w:t>
            </w:r>
          </w:p>
        </w:tc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5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96,1</w:t>
            </w:r>
          </w:p>
        </w:tc>
      </w:tr>
    </w:tbl>
    <w:p w14:paraId="CA05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i w:val="0"/>
          <w:sz w:val="18"/>
        </w:rPr>
      </w:pPr>
    </w:p>
    <w:p w14:paraId="CB05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i w:val="0"/>
          <w:sz w:val="1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18"/>
          <w:highlight w:val="white"/>
        </w:rPr>
        <w:t>* план по расходам утвержден с учетом остатков средств на начало года.</w:t>
      </w:r>
    </w:p>
    <w:p w14:paraId="CC05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i w:val="0"/>
          <w:sz w:val="18"/>
        </w:rPr>
      </w:pPr>
    </w:p>
    <w:p w14:paraId="CD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Расходы на финансовое обеспечение деятельности муниципальных бюджетных и автономных учреждений в общем объеме расходов муниципального бюджета составили 630 607,8 тыс. рублей, или 51,4%.</w:t>
      </w:r>
    </w:p>
    <w:p w14:paraId="CE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CF050000">
      <w:pPr>
        <w:pStyle w:val="Style_3"/>
        <w:spacing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 Источники финансирования дефицита бюджета муниципального округа</w:t>
      </w:r>
    </w:p>
    <w:p w14:paraId="D0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D1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Источники финансирования дефицита бюджета муниципального округа на 01 января 2026 года исполнены в сумме дефицита бюджета 16 145,7 тыс. рублей (при плановом дефиците в сумме 14 367,8 тыс. рублей).</w:t>
      </w:r>
    </w:p>
    <w:p w14:paraId="D2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Источниками финансирования дефицита бюджета муниципального округа в 2025 году являлись остатки средств на счетах по учету средств бюджета.</w:t>
      </w:r>
    </w:p>
    <w:p w14:paraId="D3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D4050000">
      <w:pPr>
        <w:pStyle w:val="Style_3"/>
        <w:spacing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8. Муниципальный долг </w:t>
      </w:r>
    </w:p>
    <w:p w14:paraId="D5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D6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Согласно долговой книге Шарангского муниципального округа Нижегородской области по состоянию на 01 января 2026 г. муниципальный долг отсутствует.</w:t>
      </w:r>
    </w:p>
    <w:p w14:paraId="D7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Муниципальные гарантии в отчетном периоде не предоставлялись, что соответствует решению о бюджете на 2025 год.</w:t>
      </w:r>
    </w:p>
    <w:p w14:paraId="D8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D9050000">
      <w:pPr>
        <w:pStyle w:val="Style_3"/>
        <w:spacing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9. Анализ состояния дебиторской и кредиторской задолженности.</w:t>
      </w:r>
    </w:p>
    <w:p w14:paraId="DA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DB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 данной годовой бюджетной отчетности (ф.0503369) общий объем дебиторской задолженности бюджета муниципального бюджета по состоянию на 01.01.2025 г. составил 1 144 871,7 тыс.рублей, </w:t>
      </w:r>
      <w:r>
        <w:rPr>
          <w:rFonts w:ascii="Times New Roman" w:hAnsi="Times New Roman"/>
          <w:b w:val="0"/>
          <w:sz w:val="28"/>
        </w:rPr>
        <w:t>в том числе д</w:t>
      </w:r>
      <w:r>
        <w:rPr>
          <w:rFonts w:ascii="Times New Roman" w:hAnsi="Times New Roman"/>
          <w:b w:val="0"/>
          <w:sz w:val="28"/>
        </w:rPr>
        <w:t>олгосрочная задолженность 0,0 тыс. рублей, просроченная задолженность – 2 856,1 тыс. рублей</w:t>
      </w:r>
      <w:r>
        <w:rPr>
          <w:rFonts w:ascii="Times New Roman" w:hAnsi="Times New Roman"/>
          <w:b w:val="0"/>
          <w:sz w:val="28"/>
        </w:rPr>
        <w:t xml:space="preserve"> (на 01.01.2025 г.–768 218,8 тыс. рублей, долгосрочная задолженность -6,1 тыс.рублей, просроченная </w:t>
      </w:r>
      <w:r>
        <w:rPr>
          <w:rFonts w:ascii="Times New Roman" w:hAnsi="Times New Roman"/>
          <w:b w:val="0"/>
          <w:sz w:val="28"/>
        </w:rPr>
        <w:t>задолженность –3 023,7 тыс. рублей). Дебиторская задолженность на конец 2024 года соответствует сумме задолженности на начало 2025 года.</w:t>
      </w:r>
    </w:p>
    <w:p w14:paraId="DC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Сопоставимая дебиторская задолженность (без учета долгосрочной задолженности, задолженности по налоговым доходам и расчетам по доходам по межбюджетным трансфертам) по состоянию на 01.01.2026г. сложилась в сумме     97 119,2 тыс.рублей (на 01.01.2025г. – 6 348,0 тыс.рублей), из них:</w:t>
      </w:r>
    </w:p>
    <w:p w14:paraId="DD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на счете 1 206 21</w:t>
      </w:r>
      <w:r>
        <w:rPr>
          <w:rFonts w:ascii="Times New Roman" w:hAnsi="Times New Roman"/>
          <w:b w:val="0"/>
          <w:i w:val="0"/>
          <w:sz w:val="28"/>
        </w:rPr>
        <w:t xml:space="preserve"> –</w:t>
      </w:r>
      <w:r>
        <w:rPr>
          <w:rFonts w:ascii="Times New Roman" w:hAnsi="Times New Roman"/>
          <w:b w:val="0"/>
          <w:sz w:val="28"/>
        </w:rPr>
        <w:t xml:space="preserve"> 9,9 тыс. рублей – за счет авансовых платежей за услуги связи;</w:t>
      </w:r>
    </w:p>
    <w:p w14:paraId="DE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на счете 1 206 31</w:t>
      </w:r>
      <w:r>
        <w:rPr>
          <w:rFonts w:ascii="Times New Roman" w:hAnsi="Times New Roman"/>
          <w:b w:val="0"/>
          <w:i w:val="0"/>
          <w:sz w:val="28"/>
        </w:rPr>
        <w:t xml:space="preserve"> –</w:t>
      </w:r>
      <w:r>
        <w:rPr>
          <w:rFonts w:ascii="Times New Roman" w:hAnsi="Times New Roman"/>
          <w:b w:val="0"/>
          <w:sz w:val="28"/>
        </w:rPr>
        <w:t xml:space="preserve"> 67 109,3 тыс. рублей – за счет авансовых платежей за основные средства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DF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 данным годовой бюджетной отчетности (ф.0503369) общий объем кредиторской задолженности бюджета муниципального округа (без учета задолженности по налоговым платежам и остатков неиспользованных межбюджетных трансфертов) по состоянию на 01.01.2026 г. составил 22 147,9 тыс.рублей (на 01.01.2025 г.– 880,0 тыс. рублей), из них: </w:t>
      </w:r>
    </w:p>
    <w:p w14:paraId="E0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на счете 1 302 21</w:t>
      </w:r>
      <w:r>
        <w:rPr>
          <w:rFonts w:ascii="Times New Roman" w:hAnsi="Times New Roman"/>
          <w:b w:val="0"/>
          <w:sz w:val="28"/>
        </w:rPr>
        <w:t xml:space="preserve"> – 122,3 тыс.рублей – по услугам связи;</w:t>
      </w:r>
    </w:p>
    <w:p w14:paraId="E1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на счете 1 302 23</w:t>
      </w:r>
      <w:r>
        <w:rPr>
          <w:rFonts w:ascii="Times New Roman" w:hAnsi="Times New Roman"/>
          <w:b w:val="0"/>
          <w:sz w:val="28"/>
        </w:rPr>
        <w:t>– 203,7 тыс. рублей – по коммунальным услугам;</w:t>
      </w:r>
    </w:p>
    <w:p w14:paraId="E2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на счете 1 302 24</w:t>
      </w:r>
      <w:r>
        <w:rPr>
          <w:rFonts w:ascii="Times New Roman" w:hAnsi="Times New Roman"/>
          <w:b w:val="0"/>
          <w:sz w:val="28"/>
        </w:rPr>
        <w:t xml:space="preserve"> – 20,5 тыс. рублей – лизинговые расчеты;</w:t>
      </w:r>
    </w:p>
    <w:p w14:paraId="E3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на счете 1 302 25</w:t>
      </w:r>
      <w:r>
        <w:rPr>
          <w:rFonts w:ascii="Times New Roman" w:hAnsi="Times New Roman"/>
          <w:b w:val="0"/>
          <w:sz w:val="28"/>
        </w:rPr>
        <w:t xml:space="preserve"> – 49,9 тыс.рублей – работы, услуги по содержанию имущества;</w:t>
      </w:r>
    </w:p>
    <w:p w14:paraId="E4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на счете 1 302 26</w:t>
      </w:r>
      <w:r>
        <w:rPr>
          <w:rFonts w:ascii="Times New Roman" w:hAnsi="Times New Roman"/>
          <w:b w:val="0"/>
          <w:sz w:val="28"/>
        </w:rPr>
        <w:t xml:space="preserve"> –21 335,8 тыс. рублей – прочие работы, услуги;</w:t>
      </w:r>
    </w:p>
    <w:p w14:paraId="E5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на счете 1 302 31</w:t>
      </w:r>
      <w:r>
        <w:rPr>
          <w:rFonts w:ascii="Times New Roman" w:hAnsi="Times New Roman"/>
          <w:b w:val="0"/>
          <w:sz w:val="28"/>
        </w:rPr>
        <w:t xml:space="preserve"> – 64,9 тыс.рублей - за основные средства;</w:t>
      </w:r>
    </w:p>
    <w:p w14:paraId="E6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на счете 1 302 34</w:t>
      </w:r>
      <w:r>
        <w:rPr>
          <w:rFonts w:ascii="Times New Roman" w:hAnsi="Times New Roman"/>
          <w:b w:val="0"/>
          <w:sz w:val="28"/>
        </w:rPr>
        <w:t xml:space="preserve"> – 350,8 тыс.рублей  – за материальные запасы..</w:t>
      </w:r>
    </w:p>
    <w:p w14:paraId="E7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Просроченной кредиторской задолженности нет.</w:t>
      </w:r>
    </w:p>
    <w:p w14:paraId="E8050000">
      <w:pPr>
        <w:pStyle w:val="Style_3"/>
        <w:spacing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</w:p>
    <w:p w14:paraId="E9050000">
      <w:pPr>
        <w:pStyle w:val="Style_3"/>
        <w:spacing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10. Внешняя проверка годовой бюджетной отчетности за 2025 год</w:t>
      </w:r>
    </w:p>
    <w:p w14:paraId="EA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EB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В соответствии с требованиями статьи 264.4 Бюджетного кодекса РФ, статьи 38 Положения о бюджетном процессе в Шарангском муниципальном округе Нижегородской области проведена камеральная внешняя проверка бюджетной отчетности за 2025 год 8 главных администраторов бюджетных средств (далее – ГАБС)</w:t>
      </w:r>
      <w:r>
        <w:rPr>
          <w:rFonts w:ascii="Times New Roman" w:hAnsi="Times New Roman"/>
          <w:b w:val="0"/>
          <w:sz w:val="28"/>
        </w:rPr>
        <w:t>.</w:t>
      </w:r>
    </w:p>
    <w:p w14:paraId="EC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Своевременность предоставления бюджетной отчетности, установленная пунктом 3 статьи 38 </w:t>
      </w:r>
      <w:r>
        <w:rPr>
          <w:rFonts w:ascii="Times New Roman" w:hAnsi="Times New Roman"/>
          <w:sz w:val="28"/>
        </w:rPr>
        <w:t>Положения о бюджетном процессе в Шарангском муниципальном округе Нижегородской области (не позднее 1 апреля текущего финансового года)</w:t>
      </w:r>
      <w:r>
        <w:rPr>
          <w:rFonts w:ascii="Times New Roman" w:hAnsi="Times New Roman"/>
          <w:b w:val="0"/>
          <w:sz w:val="28"/>
        </w:rPr>
        <w:t>, соблюдена всеми ГРБС.</w:t>
      </w:r>
    </w:p>
    <w:p w14:paraId="ED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Полнота бюджетной отчетности в целом подтверждена у 8 ГАБС. При этом:</w:t>
      </w:r>
    </w:p>
    <w:p w14:paraId="EE050000">
      <w:pPr>
        <w:pStyle w:val="Style_3"/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-в состав бюджетной отчетности 3 ГАБС включены формы, которые исключены из состава бюджетной отчетности Приказом Минфина России от 04.08.2025г. №102н;</w:t>
      </w:r>
    </w:p>
    <w:p w14:paraId="EF05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-в нарушение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п.68.1, 73.1 Инструкции №191н при наличии бюджетных обязательств на реализацию национального проекта в составе отчетности не была представлена ф.0503128-НП «Отчет о бюджетных обязательствах» (1 ГАБС).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</w:p>
    <w:p w14:paraId="F005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Информативность, представленной бюджетной отчетности, в целом подтверждена у 8 ГАБС, за исключением информативности отдельных форм 2 ГАБС (в Пояснительной записке содержится неверная информация</w:t>
      </w:r>
      <w:r>
        <w:rPr>
          <w:rFonts w:ascii="Times New Roman" w:hAnsi="Times New Roman"/>
          <w:b w:val="0"/>
          <w:sz w:val="28"/>
        </w:rPr>
        <w:t xml:space="preserve">; </w:t>
      </w:r>
      <w:r>
        <w:rPr>
          <w:rFonts w:ascii="Times New Roman" w:hAnsi="Times New Roman"/>
          <w:b w:val="0"/>
          <w:sz w:val="28"/>
        </w:rPr>
        <w:t>не раскрыты причины отклонений от планового процента исполнения по расходам ф.0503164 «Сведения об исполнении бюджета»</w:t>
      </w:r>
      <w:r>
        <w:rPr>
          <w:rFonts w:ascii="Times New Roman" w:hAnsi="Times New Roman"/>
          <w:b w:val="0"/>
          <w:sz w:val="28"/>
        </w:rPr>
        <w:t>).</w:t>
      </w:r>
    </w:p>
    <w:p w14:paraId="F1050000">
      <w:pPr>
        <w:pStyle w:val="Style_3"/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По результатам проведения камеральной внешней проверки годовой бюджетной отчетности по каждому ГАБС подготовлено и направлено Заключение, содержащее установленные нарушения и недостатки.</w:t>
      </w:r>
    </w:p>
    <w:p w14:paraId="F2050000">
      <w:pPr>
        <w:pStyle w:val="Style_3"/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Контрольно-счетная комиссия отмечает, что всеми ГАБС соблюдены требования Ф</w:t>
      </w:r>
      <w:r>
        <w:rPr>
          <w:rFonts w:ascii="Times New Roman" w:hAnsi="Times New Roman"/>
          <w:b w:val="0"/>
          <w:sz w:val="28"/>
        </w:rPr>
        <w:t xml:space="preserve">едерального стандарта бухгалтерского учета для организаций государственного сектора «Учетная политика, оценочные значения и ошибки», </w:t>
      </w:r>
      <w:r>
        <w:rPr>
          <w:rFonts w:ascii="Times New Roman" w:hAnsi="Times New Roman"/>
          <w:b w:val="0"/>
          <w:i w:val="0"/>
          <w:sz w:val="28"/>
        </w:rPr>
        <w:t>у</w:t>
      </w:r>
      <w:r>
        <w:rPr>
          <w:rFonts w:ascii="Times New Roman" w:hAnsi="Times New Roman"/>
          <w:b w:val="0"/>
          <w:i w:val="0"/>
          <w:color w:val="000000"/>
          <w:sz w:val="28"/>
        </w:rPr>
        <w:t>твержденного приказом Министерства финансов Российской Федерации от 30.12.2017 №274н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(пункт 9) в части размещения </w:t>
      </w:r>
      <w:r>
        <w:rPr>
          <w:rFonts w:ascii="Times New Roman" w:hAnsi="Times New Roman"/>
          <w:b w:val="0"/>
          <w:sz w:val="28"/>
        </w:rPr>
        <w:t>на своих официальных сайтах в информационно-телекоммуникационной сети «Интернет» основные положения либо копии учетной политики.</w:t>
      </w:r>
    </w:p>
    <w:p w14:paraId="F305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Контрольно-счетная комиссия отмечает следующие нарушения (недостатки) требований Инструкции №191н о</w:t>
      </w:r>
      <w:r>
        <w:rPr>
          <w:rFonts w:ascii="Times New Roman" w:hAnsi="Times New Roman"/>
          <w:b w:val="0"/>
          <w:sz w:val="28"/>
        </w:rPr>
        <w:t>тносительно правильности заполнения форм</w:t>
      </w:r>
      <w:r>
        <w:rPr>
          <w:rFonts w:ascii="Times New Roman" w:hAnsi="Times New Roman"/>
          <w:b w:val="0"/>
          <w:sz w:val="28"/>
        </w:rPr>
        <w:t xml:space="preserve"> годовой бюджетной отчетности:</w:t>
      </w:r>
    </w:p>
    <w:p w14:paraId="F405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-п. 4 бюджетная отчетность за 2025 год представлена в непронумерованном виде без оглавления (1 ГАБС);</w:t>
      </w:r>
    </w:p>
    <w:p w14:paraId="F505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-п.8 не в полном объеме отражена информация о формах отчетности, которые не представлены в виду отсутствия числовых значений показателей (2 ГАБС);</w:t>
      </w:r>
    </w:p>
    <w:p w14:paraId="F605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-п.159.9 в части </w:t>
      </w:r>
      <w:r>
        <w:rPr>
          <w:rFonts w:ascii="Times New Roman" w:hAnsi="Times New Roman"/>
          <w:b w:val="0"/>
          <w:sz w:val="28"/>
        </w:rPr>
        <w:t>отражения в Таблице №16 перечня форм отчетности, не включенных в состав бюджетной отчетности за отчетный период,</w:t>
      </w:r>
      <w:r>
        <w:rPr>
          <w:rFonts w:ascii="Times New Roman" w:hAnsi="Times New Roman"/>
          <w:b w:val="0"/>
          <w:color w:val="000000"/>
          <w:sz w:val="28"/>
        </w:rPr>
        <w:t xml:space="preserve"> ввиду отсутствия числ</w:t>
      </w:r>
      <w:r>
        <w:rPr>
          <w:rFonts w:ascii="Times New Roman" w:hAnsi="Times New Roman"/>
          <w:b w:val="0"/>
          <w:sz w:val="28"/>
        </w:rPr>
        <w:t xml:space="preserve">овых значений показателей (1 ГАБС); </w:t>
      </w:r>
    </w:p>
    <w:p w14:paraId="F7050000">
      <w:pPr>
        <w:tabs>
          <w:tab w:leader="none" w:pos="809" w:val="left"/>
          <w:tab w:leader="none" w:pos="6373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-п.</w:t>
      </w:r>
      <w:r>
        <w:rPr>
          <w:rFonts w:ascii="Times New Roman" w:hAnsi="Times New Roman"/>
          <w:b w:val="0"/>
          <w:color w:val="000000"/>
          <w:sz w:val="28"/>
        </w:rPr>
        <w:t>163 не раскрыты причины отклонений от плановых показат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елей ф.0503164 (2 ГАБС)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</w:t>
      </w:r>
    </w:p>
    <w:p w14:paraId="F8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Установленные внешней проверкой бюджетной отчетности за 2025 год нарушения и недостатки на показатели консолидированной отчетности существенного влияния не оказали.</w:t>
      </w:r>
    </w:p>
    <w:p w14:paraId="F9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FA050000">
      <w:pPr>
        <w:pStyle w:val="Style_3"/>
        <w:spacing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11. Предложения Контрольно-счетной комиссии Шарангского муниципального округа</w:t>
      </w:r>
    </w:p>
    <w:p w14:paraId="FB05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FC050000">
      <w:pPr>
        <w:pStyle w:val="Style_3"/>
        <w:numPr>
          <w:numId w:val="19"/>
        </w:numPr>
        <w:spacing w:line="240" w:lineRule="auto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Совету депутатов Шарангского муниципального округа Нижегородской области:</w:t>
      </w:r>
    </w:p>
    <w:p w14:paraId="FD050000">
      <w:pPr>
        <w:pStyle w:val="Style_3"/>
        <w:spacing w:line="24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-отчет об исполнении бюджета Шарангского муниципального округа за 2025 год утвердить. </w:t>
      </w:r>
    </w:p>
    <w:p w14:paraId="FE050000">
      <w:pPr>
        <w:pStyle w:val="Style_3"/>
        <w:numPr>
          <w:numId w:val="19"/>
        </w:numPr>
        <w:spacing w:line="24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Главным администраторам бюджетных средств:</w:t>
      </w:r>
    </w:p>
    <w:p w14:paraId="FF050000">
      <w:pPr>
        <w:pStyle w:val="Style_3"/>
        <w:spacing w:line="24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-усилить контроль за соблюдением порядка составления бюджетной отчетности.</w:t>
      </w:r>
    </w:p>
    <w:p w14:paraId="0006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0106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0206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0306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04060000">
      <w:pPr>
        <w:pStyle w:val="Style_3"/>
        <w:spacing w:line="240" w:lineRule="auto"/>
        <w:ind w:firstLine="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Председатель</w:t>
      </w:r>
      <w:r>
        <w:rPr>
          <w:rFonts w:ascii="Times New Roman" w:hAnsi="Times New Roman"/>
          <w:sz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А.М. </w:t>
      </w:r>
      <w:r>
        <w:rPr>
          <w:rFonts w:ascii="Times New Roman" w:hAnsi="Times New Roman"/>
          <w:sz w:val="28"/>
        </w:rPr>
        <w:t>Киселева</w:t>
      </w:r>
    </w:p>
    <w:p w14:paraId="05060000">
      <w:pPr>
        <w:pStyle w:val="Style_3"/>
        <w:ind w:firstLine="0" w:left="567"/>
        <w:jc w:val="right"/>
        <w:rPr>
          <w:rFonts w:ascii="Times New Roman" w:hAnsi="Times New Roman"/>
          <w:sz w:val="24"/>
        </w:rPr>
      </w:pPr>
    </w:p>
    <w:sectPr>
      <w:headerReference r:id="rId1" w:type="default"/>
      <w:footerReference r:id="rId2" w:type="default"/>
      <w:pgSz w:h="16848" w:orient="portrait" w:w="11908"/>
      <w:pgMar w:bottom="1134" w:footer="709" w:gutter="0" w:header="709" w:left="1134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2000000">
    <w:pPr>
      <w:pStyle w:val="Style_1"/>
      <w:rPr>
        <w:rFonts w:ascii="Times New Roman" w:hAnsi="Times New Roman"/>
        <w:b w:val="1"/>
        <w:i w:val="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6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7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8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Vladimir Script" w:hAnsi="Vladimir Script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4" w:type="paragraph">
    <w:name w:val="toc 2"/>
    <w:next w:val="Style_1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8_ch" w:type="character">
    <w:name w:val="heading 3"/>
    <w:basedOn w:val="Style_1_ch"/>
    <w:link w:val="Style_8"/>
    <w:rPr>
      <w:rFonts w:asciiTheme="majorAscii" w:hAnsiTheme="majorHAnsi"/>
      <w:b w:val="1"/>
      <w:color w:themeColor="accent1" w:val="4F81BD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Balloon Text"/>
    <w:basedOn w:val="Style_1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1_ch"/>
    <w:link w:val="Style_10"/>
    <w:rPr>
      <w:rFonts w:ascii="Tahoma" w:hAnsi="Tahoma"/>
      <w:sz w:val="16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Заголовок №1"/>
    <w:basedOn w:val="Style_1"/>
    <w:link w:val="Style_12_ch"/>
    <w:pPr>
      <w:widowControl w:val="0"/>
      <w:spacing w:after="0" w:line="370" w:lineRule="exact"/>
      <w:ind/>
      <w:jc w:val="both"/>
      <w:outlineLvl w:val="0"/>
    </w:pPr>
    <w:rPr>
      <w:b w:val="1"/>
      <w:spacing w:val="3"/>
      <w:sz w:val="28"/>
    </w:rPr>
  </w:style>
  <w:style w:styleId="Style_12_ch" w:type="character">
    <w:name w:val="Заголовок №1"/>
    <w:basedOn w:val="Style_1_ch"/>
    <w:link w:val="Style_12"/>
    <w:rPr>
      <w:b w:val="1"/>
      <w:spacing w:val="3"/>
      <w:sz w:val="28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1"/>
    <w:next w:val="Style_1"/>
    <w:link w:val="Style_14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14_ch" w:type="character">
    <w:name w:val="heading 1"/>
    <w:basedOn w:val="Style_1_ch"/>
    <w:link w:val="Style_14"/>
    <w:rPr>
      <w:rFonts w:asciiTheme="majorAscii" w:hAnsiTheme="majorHAnsi"/>
      <w:b w:val="1"/>
      <w:color w:themeColor="accent1" w:themeShade="BF" w:val="366091"/>
      <w:sz w:val="28"/>
    </w:rPr>
  </w:style>
  <w:style w:styleId="Style_15" w:type="paragraph">
    <w:name w:val="Hyperlink"/>
    <w:link w:val="Style_15_ch"/>
    <w:rPr>
      <w:strike w:val="0"/>
      <w:color w:val="000000"/>
      <w:u w:val="none"/>
    </w:rPr>
  </w:style>
  <w:style w:styleId="Style_15_ch" w:type="character">
    <w:name w:val="Hyperlink"/>
    <w:link w:val="Style_15"/>
    <w:rPr>
      <w:strike w:val="0"/>
      <w:color w:val="000000"/>
      <w:u w:val="non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3" w:type="paragraph">
    <w:name w:val="List Paragraph"/>
    <w:basedOn w:val="Style_1"/>
    <w:link w:val="Style_3_ch"/>
    <w:pPr>
      <w:ind w:firstLine="0" w:left="720"/>
      <w:contextualSpacing w:val="1"/>
    </w:pPr>
  </w:style>
  <w:style w:styleId="Style_3_ch" w:type="character">
    <w:name w:val="List Paragraph"/>
    <w:basedOn w:val="Style_1_ch"/>
    <w:link w:val="Style_3"/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basedOn w:val="Style_1"/>
    <w:next w:val="Style_1"/>
    <w:link w:val="Style_25_ch"/>
    <w:uiPriority w:val="9"/>
    <w:qFormat/>
    <w:pPr>
      <w:keepNext w:val="1"/>
      <w:spacing w:after="0" w:line="240" w:lineRule="auto"/>
      <w:ind/>
      <w:jc w:val="center"/>
      <w:outlineLvl w:val="1"/>
    </w:pPr>
    <w:rPr>
      <w:rFonts w:ascii="Arial" w:hAnsi="Arial"/>
      <w:sz w:val="24"/>
    </w:rPr>
  </w:style>
  <w:style w:styleId="Style_25_ch" w:type="character">
    <w:name w:val="heading 2"/>
    <w:basedOn w:val="Style_1_ch"/>
    <w:link w:val="Style_25"/>
    <w:rPr>
      <w:rFonts w:ascii="Arial" w:hAnsi="Arial"/>
      <w:sz w:val="24"/>
    </w:rPr>
  </w:style>
  <w:style w:styleId="Style_26" w:type="table">
    <w:name w:val="Table Grid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media/1.pn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2026-04-24T05:43:55Z</dcterms:modified>
</cp:coreProperties>
</file>